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5726"/>
        </w:tabs>
        <w:spacing w:line="360" w:lineRule="auto"/>
        <w:ind w:firstLine="292" w:firstLineChars="52"/>
        <w:rPr>
          <w:rFonts w:ascii="宋体" w:hAnsi="宋体"/>
          <w:b/>
          <w:bCs/>
          <w:color w:val="auto"/>
          <w:spacing w:val="40"/>
          <w:sz w:val="48"/>
          <w:szCs w:val="48"/>
        </w:rPr>
      </w:pPr>
    </w:p>
    <w:p>
      <w:pPr>
        <w:widowControl w:val="0"/>
        <w:spacing w:line="360" w:lineRule="auto"/>
        <w:jc w:val="center"/>
        <w:rPr>
          <w:rFonts w:hint="eastAsia" w:ascii="宋体" w:hAnsi="宋体" w:eastAsia="宋体"/>
          <w:b/>
          <w:bCs/>
          <w:color w:val="auto"/>
          <w:spacing w:val="40"/>
          <w:sz w:val="48"/>
          <w:szCs w:val="56"/>
          <w:lang w:eastAsia="zh-CN"/>
        </w:rPr>
      </w:pPr>
      <w:r>
        <w:rPr>
          <w:rFonts w:hint="eastAsia" w:ascii="宋体" w:hAnsi="宋体"/>
          <w:b/>
          <w:bCs/>
          <w:color w:val="auto"/>
          <w:spacing w:val="40"/>
          <w:sz w:val="48"/>
          <w:szCs w:val="56"/>
          <w:lang w:eastAsia="zh-CN"/>
        </w:rPr>
        <w:t>中山市三乡镇西山社区智慧大喇叭招标项目</w:t>
      </w:r>
    </w:p>
    <w:p>
      <w:pPr>
        <w:widowControl w:val="0"/>
        <w:spacing w:line="360" w:lineRule="auto"/>
        <w:ind w:firstLine="271" w:firstLineChars="52"/>
        <w:jc w:val="center"/>
        <w:rPr>
          <w:rFonts w:ascii="宋体" w:hAnsi="宋体"/>
          <w:b/>
          <w:bCs/>
          <w:color w:val="auto"/>
          <w:spacing w:val="40"/>
          <w:sz w:val="44"/>
          <w:szCs w:val="52"/>
        </w:rPr>
      </w:pPr>
    </w:p>
    <w:p>
      <w:pPr>
        <w:widowControl w:val="0"/>
        <w:spacing w:line="360" w:lineRule="auto"/>
        <w:jc w:val="center"/>
        <w:rPr>
          <w:rFonts w:ascii="宋体" w:hAnsi="宋体"/>
          <w:b/>
          <w:bCs/>
          <w:color w:val="auto"/>
          <w:spacing w:val="40"/>
          <w:sz w:val="52"/>
          <w:szCs w:val="72"/>
        </w:rPr>
      </w:pPr>
      <w:r>
        <w:rPr>
          <w:rFonts w:hint="eastAsia" w:ascii="宋体" w:hAnsi="宋体"/>
          <w:b/>
          <w:bCs/>
          <w:color w:val="auto"/>
          <w:spacing w:val="40"/>
          <w:sz w:val="44"/>
          <w:szCs w:val="52"/>
        </w:rPr>
        <w:t>（经评审的最低投标价法)</w:t>
      </w:r>
      <w:r>
        <w:rPr>
          <w:rFonts w:hint="eastAsia" w:ascii="宋体" w:hAnsi="宋体"/>
          <w:b/>
          <w:bCs/>
          <w:color w:val="auto"/>
          <w:spacing w:val="40"/>
          <w:sz w:val="44"/>
          <w:szCs w:val="52"/>
        </w:rPr>
        <w:br w:type="textWrapping"/>
      </w:r>
      <w:r>
        <w:rPr>
          <w:rFonts w:hint="eastAsia" w:ascii="新宋体" w:hAnsi="新宋体" w:eastAsia="新宋体" w:cs="Times New Roman"/>
          <w:color w:val="auto"/>
          <w:sz w:val="32"/>
          <w:szCs w:val="32"/>
          <w:shd w:val="clear" w:color="auto" w:fill="auto"/>
          <w:lang w:eastAsia="zh-CN"/>
        </w:rPr>
        <w:t>（项目编号：FH2021</w:t>
      </w:r>
      <w:r>
        <w:rPr>
          <w:rFonts w:hint="eastAsia" w:ascii="新宋体" w:hAnsi="新宋体" w:eastAsia="新宋体" w:cs="Times New Roman"/>
          <w:color w:val="auto"/>
          <w:sz w:val="32"/>
          <w:szCs w:val="32"/>
          <w:shd w:val="clear" w:color="auto" w:fill="auto"/>
          <w:lang w:val="en-US" w:eastAsia="zh-CN"/>
        </w:rPr>
        <w:t>GC1122）</w:t>
      </w:r>
    </w:p>
    <w:p>
      <w:pPr>
        <w:widowControl w:val="0"/>
        <w:spacing w:line="360" w:lineRule="auto"/>
        <w:jc w:val="both"/>
        <w:rPr>
          <w:rFonts w:ascii="宋体" w:hAnsi="宋体"/>
          <w:b/>
          <w:bCs/>
          <w:color w:val="auto"/>
          <w:spacing w:val="40"/>
          <w:sz w:val="44"/>
          <w:szCs w:val="52"/>
        </w:rPr>
      </w:pPr>
    </w:p>
    <w:p>
      <w:pPr>
        <w:widowControl w:val="0"/>
        <w:spacing w:line="360" w:lineRule="auto"/>
        <w:ind w:firstLine="271" w:firstLineChars="52"/>
        <w:jc w:val="center"/>
        <w:rPr>
          <w:rFonts w:hint="eastAsia" w:ascii="宋体" w:hAnsi="宋体"/>
          <w:b/>
          <w:bCs/>
          <w:color w:val="auto"/>
          <w:spacing w:val="40"/>
          <w:sz w:val="44"/>
          <w:szCs w:val="52"/>
        </w:rPr>
      </w:pPr>
    </w:p>
    <w:p>
      <w:pPr>
        <w:widowControl w:val="0"/>
        <w:spacing w:line="360" w:lineRule="auto"/>
        <w:ind w:firstLine="271" w:firstLineChars="52"/>
        <w:jc w:val="center"/>
        <w:rPr>
          <w:rFonts w:ascii="宋体" w:hAnsi="宋体"/>
          <w:b/>
          <w:bCs/>
          <w:color w:val="auto"/>
          <w:spacing w:val="40"/>
          <w:sz w:val="44"/>
          <w:szCs w:val="52"/>
        </w:rPr>
      </w:pPr>
      <w:r>
        <w:rPr>
          <w:rFonts w:hint="eastAsia" w:ascii="宋体" w:hAnsi="宋体"/>
          <w:b/>
          <w:bCs/>
          <w:color w:val="auto"/>
          <w:spacing w:val="40"/>
          <w:sz w:val="44"/>
          <w:szCs w:val="52"/>
        </w:rPr>
        <w:t>邀请招标文件</w:t>
      </w:r>
    </w:p>
    <w:p>
      <w:pPr>
        <w:widowControl w:val="0"/>
        <w:spacing w:line="360" w:lineRule="auto"/>
        <w:jc w:val="both"/>
        <w:rPr>
          <w:rFonts w:ascii="宋体" w:hAnsi="宋体"/>
          <w:b/>
          <w:color w:val="auto"/>
          <w:sz w:val="30"/>
          <w:szCs w:val="30"/>
        </w:rPr>
      </w:pPr>
    </w:p>
    <w:p>
      <w:pPr>
        <w:widowControl w:val="0"/>
        <w:spacing w:line="360" w:lineRule="auto"/>
        <w:jc w:val="both"/>
        <w:rPr>
          <w:rFonts w:ascii="宋体" w:hAnsi="宋体"/>
          <w:color w:val="auto"/>
          <w:sz w:val="36"/>
        </w:rPr>
      </w:pPr>
    </w:p>
    <w:p>
      <w:pPr>
        <w:widowControl w:val="0"/>
        <w:spacing w:line="360" w:lineRule="auto"/>
        <w:ind w:firstLine="187" w:firstLineChars="52"/>
        <w:jc w:val="center"/>
        <w:rPr>
          <w:rFonts w:ascii="宋体" w:hAnsi="宋体"/>
          <w:color w:val="auto"/>
          <w:sz w:val="36"/>
        </w:rPr>
      </w:pPr>
    </w:p>
    <w:p>
      <w:pPr>
        <w:widowControl w:val="0"/>
        <w:spacing w:line="360" w:lineRule="auto"/>
        <w:ind w:firstLine="187" w:firstLineChars="52"/>
        <w:jc w:val="center"/>
        <w:rPr>
          <w:rFonts w:ascii="宋体" w:hAnsi="宋体"/>
          <w:color w:val="auto"/>
          <w:sz w:val="36"/>
        </w:rPr>
      </w:pPr>
      <w:r>
        <w:rPr>
          <w:rFonts w:hint="eastAsia" w:ascii="宋体" w:hAnsi="宋体"/>
          <w:color w:val="auto"/>
          <w:sz w:val="36"/>
        </w:rPr>
        <w:t xml:space="preserve">        </w:t>
      </w:r>
    </w:p>
    <w:p>
      <w:pPr>
        <w:widowControl w:val="0"/>
        <w:spacing w:line="360" w:lineRule="auto"/>
        <w:ind w:firstLine="177" w:firstLineChars="52"/>
        <w:rPr>
          <w:rFonts w:ascii="宋体" w:hAnsi="宋体"/>
          <w:b/>
          <w:color w:val="auto"/>
          <w:spacing w:val="20"/>
          <w:sz w:val="30"/>
          <w:szCs w:val="30"/>
        </w:rPr>
      </w:pPr>
    </w:p>
    <w:p>
      <w:pPr>
        <w:widowControl w:val="0"/>
        <w:spacing w:line="360" w:lineRule="auto"/>
        <w:ind w:firstLine="177" w:firstLineChars="52"/>
        <w:rPr>
          <w:rFonts w:ascii="宋体" w:hAnsi="宋体"/>
          <w:b/>
          <w:color w:val="auto"/>
          <w:spacing w:val="20"/>
          <w:sz w:val="30"/>
          <w:szCs w:val="30"/>
        </w:rPr>
      </w:pPr>
    </w:p>
    <w:p>
      <w:pPr>
        <w:widowControl w:val="0"/>
        <w:spacing w:line="360" w:lineRule="auto"/>
        <w:ind w:firstLine="177" w:firstLineChars="52"/>
        <w:rPr>
          <w:rFonts w:ascii="宋体" w:hAnsi="宋体"/>
          <w:b/>
          <w:color w:val="auto"/>
          <w:spacing w:val="20"/>
          <w:sz w:val="30"/>
          <w:szCs w:val="30"/>
        </w:rPr>
      </w:pPr>
    </w:p>
    <w:p>
      <w:pPr>
        <w:widowControl w:val="0"/>
        <w:spacing w:line="360" w:lineRule="auto"/>
        <w:ind w:left="1699" w:leftChars="708"/>
        <w:rPr>
          <w:rFonts w:hint="eastAsia" w:ascii="宋体" w:hAnsi="宋体" w:eastAsia="宋体"/>
          <w:b/>
          <w:color w:val="auto"/>
          <w:spacing w:val="-10"/>
          <w:sz w:val="30"/>
          <w:szCs w:val="30"/>
          <w:lang w:eastAsia="zh-CN"/>
        </w:rPr>
      </w:pPr>
      <w:r>
        <w:rPr>
          <w:rFonts w:hint="eastAsia" w:ascii="宋体" w:hAnsi="宋体"/>
          <w:b/>
          <w:color w:val="auto"/>
          <w:spacing w:val="-10"/>
          <w:sz w:val="30"/>
          <w:szCs w:val="30"/>
        </w:rPr>
        <w:t>招标人：</w:t>
      </w:r>
      <w:r>
        <w:rPr>
          <w:rFonts w:hint="eastAsia" w:ascii="宋体" w:hAnsi="宋体"/>
          <w:b/>
          <w:color w:val="auto"/>
          <w:spacing w:val="-10"/>
          <w:sz w:val="30"/>
          <w:szCs w:val="30"/>
          <w:lang w:eastAsia="zh-CN"/>
        </w:rPr>
        <w:t>中山市三乡镇西山社区居民委员会</w:t>
      </w:r>
    </w:p>
    <w:p>
      <w:pPr>
        <w:widowControl w:val="0"/>
        <w:spacing w:line="360" w:lineRule="auto"/>
        <w:ind w:left="1699" w:leftChars="708"/>
        <w:rPr>
          <w:rFonts w:ascii="宋体" w:hAnsi="宋体"/>
          <w:b/>
          <w:color w:val="auto"/>
          <w:spacing w:val="-10"/>
          <w:sz w:val="30"/>
          <w:szCs w:val="30"/>
        </w:rPr>
      </w:pPr>
      <w:r>
        <w:rPr>
          <w:rFonts w:hint="eastAsia" w:ascii="宋体" w:hAnsi="宋体"/>
          <w:b/>
          <w:color w:val="auto"/>
          <w:spacing w:val="-10"/>
          <w:sz w:val="30"/>
          <w:szCs w:val="30"/>
        </w:rPr>
        <w:t>招标代理机构：方禾（广东）项目管理有限公司</w:t>
      </w:r>
    </w:p>
    <w:p>
      <w:pPr>
        <w:widowControl w:val="0"/>
        <w:tabs>
          <w:tab w:val="left" w:pos="2552"/>
        </w:tabs>
        <w:spacing w:before="120" w:beforeLines="50" w:after="120" w:afterLines="50" w:line="360" w:lineRule="auto"/>
        <w:ind w:left="1699" w:leftChars="708" w:firstLine="1644" w:firstLineChars="546"/>
        <w:rPr>
          <w:rFonts w:ascii="宋体" w:hAnsi="宋体"/>
          <w:b/>
          <w:color w:val="auto"/>
          <w:sz w:val="30"/>
        </w:rPr>
      </w:pPr>
      <w:r>
        <w:rPr>
          <w:rFonts w:hint="eastAsia" w:ascii="宋体" w:hAnsi="宋体"/>
          <w:b/>
          <w:color w:val="auto"/>
          <w:sz w:val="30"/>
        </w:rPr>
        <w:t>2021年1</w:t>
      </w:r>
      <w:r>
        <w:rPr>
          <w:rFonts w:hint="eastAsia" w:ascii="宋体" w:hAnsi="宋体"/>
          <w:b/>
          <w:color w:val="auto"/>
          <w:sz w:val="30"/>
          <w:lang w:val="en-US" w:eastAsia="zh-CN"/>
        </w:rPr>
        <w:t>2</w:t>
      </w:r>
      <w:r>
        <w:rPr>
          <w:rFonts w:hint="eastAsia" w:ascii="宋体" w:hAnsi="宋体"/>
          <w:b/>
          <w:color w:val="auto"/>
          <w:sz w:val="30"/>
        </w:rPr>
        <w:t>月</w:t>
      </w:r>
    </w:p>
    <w:p>
      <w:pPr>
        <w:widowControl w:val="0"/>
        <w:tabs>
          <w:tab w:val="left" w:pos="2552"/>
        </w:tabs>
        <w:spacing w:before="120" w:beforeLines="50" w:after="120" w:afterLines="50" w:line="360" w:lineRule="auto"/>
        <w:rPr>
          <w:rFonts w:ascii="宋体" w:hAnsi="宋体"/>
          <w:b/>
          <w:color w:val="auto"/>
          <w:sz w:val="30"/>
        </w:rPr>
        <w:sectPr>
          <w:pgSz w:w="11906" w:h="16838"/>
          <w:pgMar w:top="1418" w:right="1134" w:bottom="1418" w:left="1418" w:header="851" w:footer="992" w:gutter="0"/>
          <w:cols w:space="720" w:num="1"/>
          <w:docGrid w:linePitch="312" w:charSpace="0"/>
        </w:sectPr>
      </w:pPr>
    </w:p>
    <w:p>
      <w:pPr>
        <w:pageBreakBefore/>
        <w:spacing w:line="360" w:lineRule="auto"/>
        <w:jc w:val="center"/>
        <w:rPr>
          <w:rFonts w:ascii="宋体" w:hAnsi="宋体"/>
          <w:b/>
          <w:color w:val="auto"/>
        </w:rPr>
      </w:pPr>
      <w:r>
        <w:rPr>
          <w:rFonts w:hint="eastAsia" w:ascii="宋体" w:hAnsi="宋体"/>
          <w:b/>
          <w:color w:val="auto"/>
          <w:sz w:val="40"/>
        </w:rPr>
        <w:t>目 录</w:t>
      </w:r>
      <w:r>
        <w:rPr>
          <w:rFonts w:hint="eastAsia" w:ascii="宋体" w:hAnsi="宋体"/>
          <w:b/>
          <w:bCs/>
          <w:caps/>
          <w:color w:val="auto"/>
          <w:sz w:val="44"/>
          <w:szCs w:val="44"/>
        </w:rPr>
        <w:br w:type="textWrapping"/>
      </w:r>
      <w:r>
        <w:rPr>
          <w:rFonts w:ascii="宋体" w:hAnsi="宋体"/>
          <w:b/>
          <w:bCs/>
          <w:caps/>
          <w:color w:val="auto"/>
          <w:sz w:val="28"/>
          <w:szCs w:val="28"/>
        </w:rPr>
        <w:fldChar w:fldCharType="begin"/>
      </w:r>
      <w:r>
        <w:rPr>
          <w:rFonts w:ascii="宋体" w:hAnsi="宋体"/>
          <w:b/>
          <w:bCs/>
          <w:caps/>
          <w:color w:val="auto"/>
          <w:sz w:val="28"/>
          <w:szCs w:val="28"/>
        </w:rPr>
        <w:instrText xml:space="preserve"> </w:instrText>
      </w:r>
      <w:r>
        <w:rPr>
          <w:rFonts w:hint="eastAsia" w:ascii="宋体" w:hAnsi="宋体"/>
          <w:b/>
          <w:bCs/>
          <w:caps/>
          <w:color w:val="auto"/>
          <w:sz w:val="28"/>
          <w:szCs w:val="28"/>
        </w:rPr>
        <w:instrText xml:space="preserve">TOC \o "1-3" \h \z \u</w:instrText>
      </w:r>
      <w:r>
        <w:rPr>
          <w:rFonts w:ascii="宋体" w:hAnsi="宋体"/>
          <w:b/>
          <w:bCs/>
          <w:caps/>
          <w:color w:val="auto"/>
          <w:sz w:val="28"/>
          <w:szCs w:val="28"/>
        </w:rPr>
        <w:instrText xml:space="preserve"> </w:instrText>
      </w:r>
      <w:r>
        <w:rPr>
          <w:rFonts w:ascii="宋体" w:hAnsi="宋体"/>
          <w:b/>
          <w:bCs/>
          <w:caps/>
          <w:color w:val="auto"/>
          <w:sz w:val="28"/>
          <w:szCs w:val="28"/>
        </w:rPr>
        <w:fldChar w:fldCharType="separate"/>
      </w:r>
    </w:p>
    <w:p>
      <w:pPr>
        <w:pStyle w:val="24"/>
        <w:spacing w:line="360" w:lineRule="auto"/>
        <w:rPr>
          <w:rFonts w:ascii="宋体" w:hAnsi="宋体" w:eastAsia="宋体" w:cstheme="minorBidi"/>
          <w:color w:val="auto"/>
          <w:kern w:val="2"/>
        </w:rPr>
      </w:pPr>
      <w:r>
        <w:rPr>
          <w:color w:val="auto"/>
        </w:rPr>
        <w:fldChar w:fldCharType="begin"/>
      </w:r>
      <w:r>
        <w:rPr>
          <w:color w:val="auto"/>
        </w:rPr>
        <w:instrText xml:space="preserve"> HYPERLINK \l "_Toc80020744" </w:instrText>
      </w:r>
      <w:r>
        <w:rPr>
          <w:color w:val="auto"/>
        </w:rPr>
        <w:fldChar w:fldCharType="separate"/>
      </w:r>
      <w:r>
        <w:rPr>
          <w:rStyle w:val="32"/>
          <w:rFonts w:hint="eastAsia" w:ascii="宋体" w:hAnsi="宋体" w:eastAsia="宋体"/>
          <w:color w:val="auto"/>
        </w:rPr>
        <w:t>第一章</w:t>
      </w:r>
      <w:r>
        <w:rPr>
          <w:rStyle w:val="32"/>
          <w:rFonts w:ascii="宋体" w:hAnsi="宋体" w:eastAsia="宋体"/>
          <w:color w:val="auto"/>
        </w:rPr>
        <w:t xml:space="preserve"> </w:t>
      </w:r>
      <w:r>
        <w:rPr>
          <w:rStyle w:val="32"/>
          <w:rFonts w:hint="eastAsia" w:ascii="宋体" w:hAnsi="宋体" w:eastAsia="宋体"/>
          <w:color w:val="auto"/>
        </w:rPr>
        <w:t>邀请招标公告</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_Toc80020744 \h </w:instrText>
      </w:r>
      <w:r>
        <w:rPr>
          <w:rFonts w:ascii="宋体" w:hAnsi="宋体" w:eastAsia="宋体"/>
          <w:color w:val="auto"/>
        </w:rPr>
        <w:fldChar w:fldCharType="separate"/>
      </w:r>
      <w:r>
        <w:rPr>
          <w:rFonts w:ascii="宋体" w:hAnsi="宋体" w:eastAsia="宋体"/>
          <w:color w:val="auto"/>
        </w:rPr>
        <w:t>3</w:t>
      </w:r>
      <w:r>
        <w:rPr>
          <w:rFonts w:ascii="宋体" w:hAnsi="宋体" w:eastAsia="宋体"/>
          <w:color w:val="auto"/>
        </w:rPr>
        <w:fldChar w:fldCharType="end"/>
      </w:r>
      <w:r>
        <w:rPr>
          <w:rFonts w:ascii="宋体" w:hAnsi="宋体" w:eastAsia="宋体"/>
          <w:color w:val="auto"/>
        </w:rPr>
        <w:fldChar w:fldCharType="end"/>
      </w:r>
    </w:p>
    <w:p>
      <w:pPr>
        <w:pStyle w:val="22"/>
        <w:tabs>
          <w:tab w:val="right" w:leader="dot" w:pos="9628"/>
        </w:tabs>
        <w:spacing w:line="360" w:lineRule="auto"/>
        <w:rPr>
          <w:rFonts w:ascii="宋体" w:hAnsi="宋体" w:cstheme="minorBidi"/>
          <w:b/>
          <w:color w:val="auto"/>
          <w:kern w:val="2"/>
        </w:rPr>
      </w:pPr>
      <w:r>
        <w:rPr>
          <w:color w:val="auto"/>
        </w:rPr>
        <w:fldChar w:fldCharType="begin"/>
      </w:r>
      <w:r>
        <w:rPr>
          <w:color w:val="auto"/>
        </w:rPr>
        <w:instrText xml:space="preserve"> HYPERLINK \l "_Toc80020745" </w:instrText>
      </w:r>
      <w:r>
        <w:rPr>
          <w:color w:val="auto"/>
        </w:rPr>
        <w:fldChar w:fldCharType="separate"/>
      </w:r>
      <w:r>
        <w:rPr>
          <w:rStyle w:val="32"/>
          <w:rFonts w:hint="eastAsia" w:ascii="宋体" w:hAnsi="宋体"/>
          <w:b/>
          <w:color w:val="auto"/>
        </w:rPr>
        <w:t>第二章</w:t>
      </w:r>
      <w:r>
        <w:rPr>
          <w:rStyle w:val="32"/>
          <w:rFonts w:ascii="宋体" w:hAnsi="宋体"/>
          <w:b/>
          <w:color w:val="auto"/>
        </w:rPr>
        <w:t xml:space="preserve"> </w:t>
      </w:r>
      <w:r>
        <w:rPr>
          <w:rStyle w:val="32"/>
          <w:rFonts w:hint="eastAsia" w:ascii="宋体" w:hAnsi="宋体"/>
          <w:b/>
          <w:color w:val="auto"/>
        </w:rPr>
        <w:t>投标人须知</w:t>
      </w:r>
      <w:r>
        <w:rPr>
          <w:rFonts w:ascii="宋体" w:hAnsi="宋体"/>
          <w:b/>
          <w:color w:val="auto"/>
        </w:rPr>
        <w:tab/>
      </w:r>
      <w:r>
        <w:rPr>
          <w:rFonts w:ascii="宋体" w:hAnsi="宋体"/>
          <w:b/>
          <w:color w:val="auto"/>
        </w:rPr>
        <w:fldChar w:fldCharType="begin"/>
      </w:r>
      <w:r>
        <w:rPr>
          <w:rFonts w:ascii="宋体" w:hAnsi="宋体"/>
          <w:b/>
          <w:color w:val="auto"/>
        </w:rPr>
        <w:instrText xml:space="preserve"> PAGEREF _Toc80020745 \h </w:instrText>
      </w:r>
      <w:r>
        <w:rPr>
          <w:rFonts w:ascii="宋体" w:hAnsi="宋体"/>
          <w:b/>
          <w:color w:val="auto"/>
        </w:rPr>
        <w:fldChar w:fldCharType="separate"/>
      </w:r>
      <w:r>
        <w:rPr>
          <w:rFonts w:ascii="宋体" w:hAnsi="宋体"/>
          <w:b/>
          <w:color w:val="auto"/>
        </w:rPr>
        <w:t>6</w:t>
      </w:r>
      <w:r>
        <w:rPr>
          <w:rFonts w:ascii="宋体" w:hAnsi="宋体"/>
          <w:b/>
          <w:color w:val="auto"/>
        </w:rPr>
        <w:fldChar w:fldCharType="end"/>
      </w:r>
      <w:r>
        <w:rPr>
          <w:rFonts w:ascii="宋体" w:hAnsi="宋体"/>
          <w:b/>
          <w:color w:val="auto"/>
        </w:rPr>
        <w:fldChar w:fldCharType="end"/>
      </w:r>
      <w:r>
        <w:rPr>
          <w:rFonts w:ascii="宋体" w:hAnsi="宋体" w:cstheme="minorBidi"/>
          <w:b/>
          <w:color w:val="auto"/>
          <w:kern w:val="2"/>
        </w:rPr>
        <w:t xml:space="preserve"> </w:t>
      </w:r>
    </w:p>
    <w:p>
      <w:pPr>
        <w:pStyle w:val="24"/>
        <w:spacing w:line="360" w:lineRule="auto"/>
        <w:rPr>
          <w:rFonts w:ascii="宋体" w:hAnsi="宋体" w:eastAsia="宋体" w:cstheme="minorBidi"/>
          <w:color w:val="auto"/>
          <w:kern w:val="2"/>
        </w:rPr>
      </w:pPr>
      <w:r>
        <w:rPr>
          <w:color w:val="auto"/>
        </w:rPr>
        <w:fldChar w:fldCharType="begin"/>
      </w:r>
      <w:r>
        <w:rPr>
          <w:color w:val="auto"/>
        </w:rPr>
        <w:instrText xml:space="preserve"> HYPERLINK \l "_Toc80020747" </w:instrText>
      </w:r>
      <w:r>
        <w:rPr>
          <w:color w:val="auto"/>
        </w:rPr>
        <w:fldChar w:fldCharType="separate"/>
      </w:r>
      <w:r>
        <w:rPr>
          <w:rStyle w:val="32"/>
          <w:rFonts w:hint="eastAsia" w:ascii="宋体" w:hAnsi="宋体" w:eastAsia="宋体"/>
          <w:color w:val="auto"/>
        </w:rPr>
        <w:t>第三章 评标办法</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_Toc80020747 \h </w:instrText>
      </w:r>
      <w:r>
        <w:rPr>
          <w:rFonts w:ascii="宋体" w:hAnsi="宋体" w:eastAsia="宋体"/>
          <w:color w:val="auto"/>
        </w:rPr>
        <w:fldChar w:fldCharType="separate"/>
      </w:r>
      <w:r>
        <w:rPr>
          <w:rFonts w:ascii="宋体" w:hAnsi="宋体" w:eastAsia="宋体"/>
          <w:color w:val="auto"/>
        </w:rPr>
        <w:t>22</w:t>
      </w:r>
      <w:r>
        <w:rPr>
          <w:rFonts w:ascii="宋体" w:hAnsi="宋体" w:eastAsia="宋体"/>
          <w:color w:val="auto"/>
        </w:rPr>
        <w:fldChar w:fldCharType="end"/>
      </w:r>
      <w:r>
        <w:rPr>
          <w:rFonts w:ascii="宋体" w:hAnsi="宋体" w:eastAsia="宋体"/>
          <w:color w:val="auto"/>
        </w:rPr>
        <w:fldChar w:fldCharType="end"/>
      </w:r>
    </w:p>
    <w:p>
      <w:pPr>
        <w:pStyle w:val="22"/>
        <w:tabs>
          <w:tab w:val="right" w:leader="dot" w:pos="9628"/>
        </w:tabs>
        <w:spacing w:line="360" w:lineRule="auto"/>
        <w:rPr>
          <w:rFonts w:ascii="宋体" w:hAnsi="宋体" w:cstheme="minorBidi"/>
          <w:b/>
          <w:color w:val="auto"/>
          <w:kern w:val="2"/>
        </w:rPr>
      </w:pPr>
      <w:r>
        <w:rPr>
          <w:color w:val="auto"/>
        </w:rPr>
        <w:fldChar w:fldCharType="begin"/>
      </w:r>
      <w:r>
        <w:rPr>
          <w:color w:val="auto"/>
        </w:rPr>
        <w:instrText xml:space="preserve"> HYPERLINK \l "_Toc80020748" </w:instrText>
      </w:r>
      <w:r>
        <w:rPr>
          <w:color w:val="auto"/>
        </w:rPr>
        <w:fldChar w:fldCharType="separate"/>
      </w:r>
      <w:r>
        <w:rPr>
          <w:rStyle w:val="32"/>
          <w:rFonts w:hint="eastAsia" w:ascii="宋体" w:hAnsi="宋体"/>
          <w:b/>
          <w:color w:val="auto"/>
        </w:rPr>
        <w:t>第四章</w:t>
      </w:r>
      <w:r>
        <w:rPr>
          <w:rStyle w:val="32"/>
          <w:rFonts w:ascii="宋体" w:hAnsi="宋体"/>
          <w:b/>
          <w:color w:val="auto"/>
        </w:rPr>
        <w:t xml:space="preserve"> </w:t>
      </w:r>
      <w:r>
        <w:rPr>
          <w:rStyle w:val="32"/>
          <w:rFonts w:hint="eastAsia" w:ascii="宋体" w:hAnsi="宋体"/>
          <w:b/>
          <w:color w:val="auto"/>
        </w:rPr>
        <w:t>合同条款及格式</w:t>
      </w:r>
      <w:r>
        <w:rPr>
          <w:rFonts w:ascii="宋体" w:hAnsi="宋体"/>
          <w:b/>
          <w:color w:val="auto"/>
        </w:rPr>
        <w:tab/>
      </w:r>
      <w:r>
        <w:rPr>
          <w:rFonts w:ascii="宋体" w:hAnsi="宋体"/>
          <w:b/>
          <w:color w:val="auto"/>
        </w:rPr>
        <w:fldChar w:fldCharType="begin"/>
      </w:r>
      <w:r>
        <w:rPr>
          <w:rFonts w:ascii="宋体" w:hAnsi="宋体"/>
          <w:b/>
          <w:color w:val="auto"/>
        </w:rPr>
        <w:instrText xml:space="preserve"> PAGEREF _Toc80020748 \h </w:instrText>
      </w:r>
      <w:r>
        <w:rPr>
          <w:rFonts w:ascii="宋体" w:hAnsi="宋体"/>
          <w:b/>
          <w:color w:val="auto"/>
        </w:rPr>
        <w:fldChar w:fldCharType="separate"/>
      </w:r>
      <w:r>
        <w:rPr>
          <w:rFonts w:ascii="宋体" w:hAnsi="宋体"/>
          <w:b/>
          <w:color w:val="auto"/>
        </w:rPr>
        <w:t>27</w:t>
      </w:r>
      <w:r>
        <w:rPr>
          <w:rFonts w:ascii="宋体" w:hAnsi="宋体"/>
          <w:b/>
          <w:color w:val="auto"/>
        </w:rPr>
        <w:fldChar w:fldCharType="end"/>
      </w:r>
      <w:r>
        <w:rPr>
          <w:rFonts w:ascii="宋体" w:hAnsi="宋体"/>
          <w:b/>
          <w:color w:val="auto"/>
        </w:rPr>
        <w:fldChar w:fldCharType="end"/>
      </w:r>
    </w:p>
    <w:p>
      <w:pPr>
        <w:pStyle w:val="22"/>
        <w:tabs>
          <w:tab w:val="right" w:leader="dot" w:pos="9628"/>
        </w:tabs>
        <w:spacing w:line="360" w:lineRule="auto"/>
        <w:rPr>
          <w:rFonts w:ascii="宋体" w:hAnsi="宋体" w:cstheme="minorBidi"/>
          <w:b/>
          <w:color w:val="auto"/>
          <w:kern w:val="2"/>
        </w:rPr>
      </w:pPr>
      <w:r>
        <w:rPr>
          <w:color w:val="auto"/>
        </w:rPr>
        <w:fldChar w:fldCharType="begin"/>
      </w:r>
      <w:r>
        <w:rPr>
          <w:color w:val="auto"/>
        </w:rPr>
        <w:instrText xml:space="preserve"> HYPERLINK \l "_Toc80020749" </w:instrText>
      </w:r>
      <w:r>
        <w:rPr>
          <w:color w:val="auto"/>
        </w:rPr>
        <w:fldChar w:fldCharType="separate"/>
      </w:r>
      <w:r>
        <w:rPr>
          <w:rStyle w:val="32"/>
          <w:rFonts w:hint="eastAsia" w:ascii="宋体" w:hAnsi="宋体"/>
          <w:b/>
          <w:color w:val="auto"/>
        </w:rPr>
        <w:t>第五章</w:t>
      </w:r>
      <w:r>
        <w:rPr>
          <w:rStyle w:val="32"/>
          <w:rFonts w:ascii="宋体" w:hAnsi="宋体"/>
          <w:b/>
          <w:color w:val="auto"/>
        </w:rPr>
        <w:t xml:space="preserve"> </w:t>
      </w:r>
      <w:r>
        <w:rPr>
          <w:rStyle w:val="32"/>
          <w:rFonts w:hint="eastAsia" w:ascii="宋体" w:hAnsi="宋体"/>
          <w:b/>
          <w:color w:val="auto"/>
        </w:rPr>
        <w:t>工程量清单及工程量清单计价</w:t>
      </w:r>
      <w:r>
        <w:rPr>
          <w:rFonts w:ascii="宋体" w:hAnsi="宋体"/>
          <w:b/>
          <w:color w:val="auto"/>
        </w:rPr>
        <w:tab/>
      </w:r>
      <w:r>
        <w:rPr>
          <w:rFonts w:ascii="宋体" w:hAnsi="宋体"/>
          <w:b/>
          <w:color w:val="auto"/>
        </w:rPr>
        <w:fldChar w:fldCharType="begin"/>
      </w:r>
      <w:r>
        <w:rPr>
          <w:rFonts w:ascii="宋体" w:hAnsi="宋体"/>
          <w:b/>
          <w:color w:val="auto"/>
        </w:rPr>
        <w:instrText xml:space="preserve"> PAGEREF _Toc80020749 \h </w:instrText>
      </w:r>
      <w:r>
        <w:rPr>
          <w:rFonts w:ascii="宋体" w:hAnsi="宋体"/>
          <w:b/>
          <w:color w:val="auto"/>
        </w:rPr>
        <w:fldChar w:fldCharType="separate"/>
      </w:r>
      <w:r>
        <w:rPr>
          <w:rFonts w:ascii="宋体" w:hAnsi="宋体"/>
          <w:b/>
          <w:color w:val="auto"/>
        </w:rPr>
        <w:t>28</w:t>
      </w:r>
      <w:r>
        <w:rPr>
          <w:rFonts w:ascii="宋体" w:hAnsi="宋体"/>
          <w:b/>
          <w:color w:val="auto"/>
        </w:rPr>
        <w:fldChar w:fldCharType="end"/>
      </w:r>
      <w:r>
        <w:rPr>
          <w:rFonts w:ascii="宋体" w:hAnsi="宋体"/>
          <w:b/>
          <w:color w:val="auto"/>
        </w:rPr>
        <w:fldChar w:fldCharType="end"/>
      </w:r>
    </w:p>
    <w:p>
      <w:pPr>
        <w:pStyle w:val="24"/>
        <w:spacing w:line="360" w:lineRule="auto"/>
        <w:rPr>
          <w:rFonts w:ascii="宋体" w:hAnsi="宋体" w:eastAsia="宋体" w:cstheme="minorBidi"/>
          <w:color w:val="auto"/>
          <w:kern w:val="2"/>
        </w:rPr>
      </w:pPr>
      <w:r>
        <w:rPr>
          <w:color w:val="auto"/>
        </w:rPr>
        <w:fldChar w:fldCharType="begin"/>
      </w:r>
      <w:r>
        <w:rPr>
          <w:color w:val="auto"/>
        </w:rPr>
        <w:instrText xml:space="preserve"> HYPERLINK \l "_Toc80020750" </w:instrText>
      </w:r>
      <w:r>
        <w:rPr>
          <w:color w:val="auto"/>
        </w:rPr>
        <w:fldChar w:fldCharType="separate"/>
      </w:r>
      <w:r>
        <w:rPr>
          <w:rStyle w:val="32"/>
          <w:rFonts w:hint="eastAsia" w:ascii="宋体" w:hAnsi="宋体" w:eastAsia="宋体"/>
          <w:color w:val="auto"/>
          <w:kern w:val="44"/>
        </w:rPr>
        <w:t>第六章</w:t>
      </w:r>
      <w:r>
        <w:rPr>
          <w:rStyle w:val="32"/>
          <w:rFonts w:ascii="宋体" w:hAnsi="宋体" w:eastAsia="宋体"/>
          <w:color w:val="auto"/>
          <w:kern w:val="44"/>
        </w:rPr>
        <w:t xml:space="preserve"> </w:t>
      </w:r>
      <w:r>
        <w:rPr>
          <w:rStyle w:val="32"/>
          <w:rFonts w:hint="eastAsia" w:ascii="宋体" w:hAnsi="宋体" w:eastAsia="宋体"/>
          <w:color w:val="auto"/>
          <w:kern w:val="44"/>
        </w:rPr>
        <w:t>图纸</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_Toc80020750 \h </w:instrText>
      </w:r>
      <w:r>
        <w:rPr>
          <w:rFonts w:ascii="宋体" w:hAnsi="宋体" w:eastAsia="宋体"/>
          <w:color w:val="auto"/>
        </w:rPr>
        <w:fldChar w:fldCharType="separate"/>
      </w:r>
      <w:r>
        <w:rPr>
          <w:rFonts w:ascii="宋体" w:hAnsi="宋体" w:eastAsia="宋体"/>
          <w:color w:val="auto"/>
        </w:rPr>
        <w:t>30</w:t>
      </w:r>
      <w:r>
        <w:rPr>
          <w:rFonts w:ascii="宋体" w:hAnsi="宋体" w:eastAsia="宋体"/>
          <w:color w:val="auto"/>
        </w:rPr>
        <w:fldChar w:fldCharType="end"/>
      </w:r>
      <w:r>
        <w:rPr>
          <w:rFonts w:ascii="宋体" w:hAnsi="宋体" w:eastAsia="宋体"/>
          <w:color w:val="auto"/>
        </w:rPr>
        <w:fldChar w:fldCharType="end"/>
      </w:r>
    </w:p>
    <w:p>
      <w:pPr>
        <w:pStyle w:val="24"/>
        <w:spacing w:line="360" w:lineRule="auto"/>
        <w:rPr>
          <w:rFonts w:ascii="宋体" w:hAnsi="宋体" w:eastAsia="宋体" w:cstheme="minorBidi"/>
          <w:color w:val="auto"/>
          <w:kern w:val="2"/>
        </w:rPr>
      </w:pPr>
      <w:r>
        <w:rPr>
          <w:color w:val="auto"/>
        </w:rPr>
        <w:fldChar w:fldCharType="begin"/>
      </w:r>
      <w:r>
        <w:rPr>
          <w:color w:val="auto"/>
        </w:rPr>
        <w:instrText xml:space="preserve"> HYPERLINK \l "_Toc80020751" </w:instrText>
      </w:r>
      <w:r>
        <w:rPr>
          <w:color w:val="auto"/>
        </w:rPr>
        <w:fldChar w:fldCharType="separate"/>
      </w:r>
      <w:r>
        <w:rPr>
          <w:rStyle w:val="32"/>
          <w:rFonts w:hint="eastAsia" w:ascii="宋体" w:hAnsi="宋体" w:eastAsia="宋体"/>
          <w:color w:val="auto"/>
          <w:kern w:val="44"/>
        </w:rPr>
        <w:t>第七章</w:t>
      </w:r>
      <w:r>
        <w:rPr>
          <w:rStyle w:val="32"/>
          <w:rFonts w:ascii="宋体" w:hAnsi="宋体" w:eastAsia="宋体"/>
          <w:color w:val="auto"/>
          <w:kern w:val="44"/>
        </w:rPr>
        <w:t xml:space="preserve"> </w:t>
      </w:r>
      <w:r>
        <w:rPr>
          <w:rStyle w:val="32"/>
          <w:rFonts w:hint="eastAsia" w:ascii="宋体" w:hAnsi="宋体" w:eastAsia="宋体"/>
          <w:color w:val="auto"/>
          <w:kern w:val="44"/>
        </w:rPr>
        <w:t>投标文件格式</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_Toc80020751 \h </w:instrText>
      </w:r>
      <w:r>
        <w:rPr>
          <w:rFonts w:ascii="宋体" w:hAnsi="宋体" w:eastAsia="宋体"/>
          <w:color w:val="auto"/>
        </w:rPr>
        <w:fldChar w:fldCharType="separate"/>
      </w:r>
      <w:r>
        <w:rPr>
          <w:rFonts w:ascii="宋体" w:hAnsi="宋体" w:eastAsia="宋体"/>
          <w:color w:val="auto"/>
        </w:rPr>
        <w:t>31</w:t>
      </w:r>
      <w:r>
        <w:rPr>
          <w:rFonts w:ascii="宋体" w:hAnsi="宋体" w:eastAsia="宋体"/>
          <w:color w:val="auto"/>
        </w:rPr>
        <w:fldChar w:fldCharType="end"/>
      </w:r>
      <w:r>
        <w:rPr>
          <w:rFonts w:ascii="宋体" w:hAnsi="宋体" w:eastAsia="宋体"/>
          <w:color w:val="auto"/>
        </w:rPr>
        <w:fldChar w:fldCharType="end"/>
      </w:r>
    </w:p>
    <w:p>
      <w:pPr>
        <w:widowControl w:val="0"/>
        <w:spacing w:line="360" w:lineRule="auto"/>
        <w:ind w:firstLine="146" w:firstLineChars="52"/>
        <w:jc w:val="center"/>
        <w:rPr>
          <w:rFonts w:ascii="宋体" w:hAnsi="宋体"/>
          <w:color w:val="auto"/>
          <w:sz w:val="28"/>
          <w:szCs w:val="28"/>
        </w:rPr>
      </w:pPr>
      <w:r>
        <w:rPr>
          <w:rFonts w:ascii="宋体" w:hAnsi="宋体"/>
          <w:b/>
          <w:color w:val="auto"/>
          <w:sz w:val="28"/>
          <w:szCs w:val="28"/>
        </w:rPr>
        <w:fldChar w:fldCharType="end"/>
      </w:r>
    </w:p>
    <w:p>
      <w:pPr>
        <w:widowControl w:val="0"/>
        <w:spacing w:line="360" w:lineRule="auto"/>
        <w:ind w:firstLine="145" w:firstLineChars="52"/>
        <w:jc w:val="center"/>
        <w:rPr>
          <w:rFonts w:ascii="宋体" w:hAnsi="宋体"/>
          <w:color w:val="auto"/>
          <w:sz w:val="28"/>
          <w:szCs w:val="28"/>
        </w:rPr>
      </w:pPr>
      <w:r>
        <w:rPr>
          <w:rFonts w:ascii="宋体" w:hAnsi="宋体"/>
          <w:color w:val="auto"/>
          <w:sz w:val="28"/>
          <w:szCs w:val="28"/>
        </w:rPr>
        <w:br w:type="page"/>
      </w:r>
    </w:p>
    <w:p>
      <w:pPr>
        <w:widowControl w:val="0"/>
        <w:spacing w:line="360" w:lineRule="auto"/>
        <w:jc w:val="center"/>
        <w:rPr>
          <w:rFonts w:hint="eastAsia" w:ascii="宋体" w:hAnsi="宋体" w:eastAsia="宋体"/>
          <w:b/>
          <w:color w:val="auto"/>
          <w:sz w:val="36"/>
          <w:szCs w:val="36"/>
          <w:lang w:eastAsia="zh-CN"/>
        </w:rPr>
      </w:pPr>
      <w:r>
        <w:rPr>
          <w:rFonts w:hint="eastAsia" w:ascii="宋体" w:hAnsi="宋体"/>
          <w:b/>
          <w:color w:val="auto"/>
          <w:sz w:val="36"/>
          <w:szCs w:val="36"/>
          <w:lang w:eastAsia="zh-CN"/>
        </w:rPr>
        <w:t>中山市三乡镇西山社区智慧大喇叭招标项目</w:t>
      </w:r>
    </w:p>
    <w:p>
      <w:pPr>
        <w:pStyle w:val="2"/>
        <w:ind w:firstLine="188" w:firstLineChars="52"/>
        <w:jc w:val="center"/>
        <w:rPr>
          <w:rFonts w:ascii="宋体" w:hAnsi="宋体"/>
          <w:color w:val="auto"/>
        </w:rPr>
      </w:pPr>
      <w:bookmarkStart w:id="0" w:name="_Toc80020744"/>
      <w:bookmarkStart w:id="1" w:name="_Toc278985420"/>
      <w:r>
        <w:rPr>
          <w:rFonts w:hint="eastAsia" w:ascii="宋体" w:hAnsi="宋体"/>
          <w:color w:val="auto"/>
        </w:rPr>
        <w:t>第一章 邀请招标公告</w:t>
      </w:r>
      <w:bookmarkEnd w:id="0"/>
    </w:p>
    <w:p>
      <w:pPr>
        <w:spacing w:line="336" w:lineRule="auto"/>
        <w:rPr>
          <w:rFonts w:ascii="宋体" w:hAnsi="宋体"/>
          <w:b/>
          <w:color w:val="auto"/>
        </w:rPr>
      </w:pPr>
      <w:bookmarkStart w:id="2" w:name="_Toc45126817"/>
      <w:bookmarkStart w:id="3" w:name="_Toc184635053"/>
      <w:r>
        <w:rPr>
          <w:rFonts w:hint="eastAsia" w:ascii="宋体" w:hAnsi="宋体"/>
          <w:b/>
          <w:color w:val="auto"/>
        </w:rPr>
        <w:t>1.招标条件</w:t>
      </w:r>
      <w:bookmarkEnd w:id="2"/>
      <w:bookmarkEnd w:id="3"/>
    </w:p>
    <w:p>
      <w:pPr>
        <w:spacing w:line="336" w:lineRule="auto"/>
        <w:ind w:firstLine="480" w:firstLineChars="200"/>
        <w:rPr>
          <w:rFonts w:ascii="宋体" w:hAnsi="宋体"/>
          <w:color w:val="auto"/>
        </w:rPr>
      </w:pPr>
      <w:r>
        <w:rPr>
          <w:rFonts w:hint="eastAsia" w:ascii="宋体" w:hAnsi="宋体"/>
          <w:color w:val="auto"/>
        </w:rPr>
        <w:t>本招标项目</w:t>
      </w:r>
      <w:r>
        <w:rPr>
          <w:rFonts w:hint="eastAsia" w:ascii="宋体" w:hAnsi="宋体"/>
          <w:color w:val="auto"/>
          <w:u w:val="single"/>
          <w:lang w:eastAsia="zh-CN"/>
        </w:rPr>
        <w:t>中山市三乡镇西山社区智慧大喇叭招标项目</w:t>
      </w:r>
      <w:r>
        <w:rPr>
          <w:rFonts w:hint="eastAsia" w:ascii="宋体" w:hAnsi="宋体"/>
          <w:color w:val="auto"/>
        </w:rPr>
        <w:t>，项目建设单位为</w:t>
      </w:r>
      <w:r>
        <w:rPr>
          <w:rFonts w:hint="eastAsia" w:ascii="宋体" w:hAnsi="宋体"/>
          <w:color w:val="auto"/>
          <w:u w:val="single"/>
          <w:lang w:eastAsia="zh-CN"/>
        </w:rPr>
        <w:t>中山市三乡镇西山社区居民委员会</w:t>
      </w:r>
      <w:r>
        <w:rPr>
          <w:rFonts w:hint="eastAsia" w:ascii="宋体" w:hAnsi="宋体"/>
          <w:color w:val="auto"/>
        </w:rPr>
        <w:t>，建设资金来自</w:t>
      </w:r>
      <w:r>
        <w:rPr>
          <w:rFonts w:hint="eastAsia" w:ascii="宋体" w:hAnsi="宋体"/>
          <w:color w:val="auto"/>
          <w:u w:val="single"/>
        </w:rPr>
        <w:t>财政资金</w:t>
      </w:r>
      <w:r>
        <w:rPr>
          <w:rFonts w:hint="eastAsia" w:ascii="宋体" w:hAnsi="宋体"/>
          <w:color w:val="auto"/>
        </w:rPr>
        <w:t>（资金来源）</w:t>
      </w:r>
      <w:r>
        <w:rPr>
          <w:rFonts w:hint="eastAsia" w:ascii="宋体" w:hAnsi="宋体"/>
          <w:color w:val="auto"/>
        </w:rPr>
        <w:t>，项目出资比例为</w:t>
      </w:r>
      <w:r>
        <w:rPr>
          <w:rFonts w:hint="eastAsia" w:ascii="宋体" w:hAnsi="宋体"/>
          <w:color w:val="auto"/>
          <w:u w:val="single"/>
        </w:rPr>
        <w:t>100%</w:t>
      </w:r>
      <w:r>
        <w:rPr>
          <w:rFonts w:hint="eastAsia" w:ascii="宋体" w:hAnsi="宋体"/>
          <w:color w:val="auto"/>
        </w:rPr>
        <w:t>，招标人为</w:t>
      </w:r>
      <w:r>
        <w:rPr>
          <w:rFonts w:hint="eastAsia" w:ascii="宋体" w:hAnsi="宋体"/>
          <w:color w:val="auto"/>
          <w:u w:val="single"/>
          <w:lang w:eastAsia="zh-CN"/>
        </w:rPr>
        <w:t>中山市三乡镇西山社区居民委员会</w:t>
      </w:r>
      <w:r>
        <w:rPr>
          <w:rFonts w:hint="eastAsia" w:ascii="宋体" w:hAnsi="宋体"/>
          <w:color w:val="auto"/>
        </w:rPr>
        <w:t>。项目已具备招标条件，现对该项目的施工进行邀请招标。欢迎获得邀请的投标单位参与投标。</w:t>
      </w:r>
    </w:p>
    <w:p>
      <w:pPr>
        <w:spacing w:line="336" w:lineRule="auto"/>
        <w:rPr>
          <w:rFonts w:ascii="宋体" w:hAnsi="宋体"/>
          <w:b/>
          <w:color w:val="auto"/>
        </w:rPr>
      </w:pPr>
      <w:bookmarkStart w:id="4" w:name="_Toc184635054"/>
      <w:bookmarkStart w:id="5" w:name="_Toc45126818"/>
      <w:r>
        <w:rPr>
          <w:rFonts w:hint="eastAsia" w:ascii="宋体" w:hAnsi="宋体"/>
          <w:b/>
          <w:color w:val="auto"/>
        </w:rPr>
        <w:t>2.项目概况与招标范围</w:t>
      </w:r>
      <w:bookmarkEnd w:id="4"/>
      <w:bookmarkEnd w:id="5"/>
    </w:p>
    <w:p>
      <w:pPr>
        <w:spacing w:line="336" w:lineRule="auto"/>
        <w:rPr>
          <w:rFonts w:ascii="宋体" w:hAnsi="宋体"/>
          <w:color w:val="auto"/>
        </w:rPr>
      </w:pPr>
      <w:r>
        <w:rPr>
          <w:rFonts w:hint="eastAsia" w:ascii="宋体" w:hAnsi="宋体"/>
          <w:color w:val="auto"/>
        </w:rPr>
        <w:t>2.1项目概况：</w:t>
      </w:r>
      <w:r>
        <w:rPr>
          <w:rFonts w:hint="eastAsia" w:ascii="宋体" w:hAnsi="宋体"/>
          <w:color w:val="auto"/>
          <w:lang w:eastAsia="zh-CN"/>
        </w:rPr>
        <w:t>中山市三乡镇西山社区智慧大喇叭招标项目</w:t>
      </w:r>
      <w:r>
        <w:rPr>
          <w:rFonts w:hint="eastAsia" w:ascii="宋体" w:hAnsi="宋体"/>
          <w:color w:val="auto"/>
        </w:rPr>
        <w:t>，</w:t>
      </w:r>
      <w:r>
        <w:rPr>
          <w:rFonts w:hint="eastAsia" w:ascii="宋体" w:hAnsi="宋体"/>
          <w:color w:val="auto"/>
          <w:lang w:eastAsia="zh-CN"/>
        </w:rPr>
        <w:t>项目编号（</w:t>
      </w:r>
      <w:r>
        <w:rPr>
          <w:rFonts w:hint="eastAsia" w:ascii="新宋体" w:hAnsi="新宋体" w:eastAsia="新宋体" w:cs="Times New Roman"/>
          <w:color w:val="auto"/>
          <w:sz w:val="24"/>
          <w:shd w:val="clear" w:color="auto" w:fill="auto"/>
          <w:lang w:eastAsia="zh-CN"/>
        </w:rPr>
        <w:t>FH2021GC1122</w:t>
      </w:r>
      <w:r>
        <w:rPr>
          <w:rFonts w:hint="eastAsia" w:ascii="新宋体" w:hAnsi="新宋体" w:eastAsia="新宋体" w:cs="Times New Roman"/>
          <w:color w:val="auto"/>
          <w:sz w:val="24"/>
          <w:shd w:val="clear" w:color="auto" w:fill="auto"/>
          <w:lang w:val="en-US" w:eastAsia="zh-CN"/>
        </w:rPr>
        <w:t>）</w:t>
      </w:r>
      <w:r>
        <w:rPr>
          <w:rFonts w:hint="eastAsia" w:ascii="宋体" w:hAnsi="宋体"/>
          <w:color w:val="auto"/>
        </w:rPr>
        <w:t>位于中山市三乡镇，主要工程内容为</w:t>
      </w:r>
      <w:r>
        <w:rPr>
          <w:rFonts w:hint="eastAsia" w:ascii="宋体" w:hAnsi="宋体"/>
          <w:color w:val="auto"/>
          <w:lang w:eastAsia="zh-CN"/>
        </w:rPr>
        <w:t>智慧大喇叭安装</w:t>
      </w:r>
      <w:r>
        <w:rPr>
          <w:rFonts w:hint="eastAsia" w:ascii="宋体" w:hAnsi="宋体"/>
          <w:color w:val="auto"/>
        </w:rPr>
        <w:t>。中介预算价为</w:t>
      </w:r>
      <w:r>
        <w:rPr>
          <w:rFonts w:hint="eastAsia" w:ascii="宋体" w:hAnsi="宋体"/>
          <w:color w:val="auto"/>
        </w:rPr>
        <w:t>¥</w:t>
      </w:r>
      <w:r>
        <w:rPr>
          <w:rFonts w:hint="eastAsia" w:ascii="宋体" w:hAnsi="宋体"/>
          <w:color w:val="auto"/>
          <w:lang w:eastAsia="zh-CN"/>
        </w:rPr>
        <w:t>207271.41</w:t>
      </w:r>
      <w:r>
        <w:rPr>
          <w:rFonts w:hint="eastAsia" w:ascii="宋体" w:hAnsi="宋体"/>
          <w:color w:val="auto"/>
        </w:rPr>
        <w:t>元</w:t>
      </w:r>
      <w:r>
        <w:rPr>
          <w:rFonts w:hint="eastAsia" w:ascii="宋体" w:hAnsi="宋体"/>
          <w:color w:val="auto"/>
        </w:rPr>
        <w:t>。</w:t>
      </w:r>
      <w:r>
        <w:rPr>
          <w:rFonts w:hint="eastAsia" w:ascii="宋体" w:hAnsi="宋体"/>
          <w:color w:val="auto"/>
        </w:rPr>
        <w:t>计划工期35个日历天</w:t>
      </w:r>
      <w:r>
        <w:rPr>
          <w:rFonts w:hint="eastAsia" w:ascii="宋体" w:hAnsi="宋体"/>
          <w:color w:val="auto"/>
        </w:rPr>
        <w:t>。</w:t>
      </w:r>
    </w:p>
    <w:p>
      <w:pPr>
        <w:spacing w:line="336" w:lineRule="auto"/>
        <w:rPr>
          <w:rFonts w:ascii="宋体" w:hAnsi="宋体"/>
          <w:color w:val="auto"/>
        </w:rPr>
      </w:pPr>
      <w:r>
        <w:rPr>
          <w:rFonts w:hint="eastAsia" w:ascii="宋体" w:hAnsi="宋体"/>
          <w:color w:val="auto"/>
        </w:rPr>
        <w:t>2.2招标范围：</w:t>
      </w:r>
    </w:p>
    <w:p>
      <w:pPr>
        <w:spacing w:line="336" w:lineRule="auto"/>
        <w:ind w:firstLine="480" w:firstLineChars="200"/>
        <w:rPr>
          <w:rFonts w:ascii="宋体" w:hAnsi="宋体"/>
          <w:color w:val="auto"/>
        </w:rPr>
      </w:pPr>
      <w:r>
        <w:rPr>
          <w:rFonts w:hint="eastAsia" w:ascii="宋体" w:hAnsi="宋体"/>
          <w:color w:val="auto"/>
        </w:rPr>
        <w:t>本次招标主要建设内容包括</w:t>
      </w:r>
      <w:r>
        <w:rPr>
          <w:rFonts w:hint="eastAsia" w:ascii="宋体" w:hAnsi="宋体"/>
          <w:color w:val="auto"/>
          <w:lang w:eastAsia="zh-CN"/>
        </w:rPr>
        <w:t>智慧大喇叭</w:t>
      </w:r>
      <w:r>
        <w:rPr>
          <w:rFonts w:hint="eastAsia" w:ascii="宋体" w:hAnsi="宋体"/>
          <w:color w:val="auto"/>
        </w:rPr>
        <w:t>，具体以建设单位提供的施工图纸和工程量清单及有关资料的内容为准，所有调整和变更项目施工单位不得拒绝承担。</w:t>
      </w:r>
      <w:r>
        <w:rPr>
          <w:rFonts w:ascii="宋体" w:hAnsi="宋体"/>
          <w:color w:val="auto"/>
        </w:rPr>
        <w:t>投标单位应自行复算。</w:t>
      </w:r>
    </w:p>
    <w:p>
      <w:pPr>
        <w:spacing w:line="336" w:lineRule="auto"/>
        <w:rPr>
          <w:rFonts w:ascii="宋体" w:hAnsi="宋体"/>
          <w:color w:val="auto"/>
          <w:szCs w:val="21"/>
        </w:rPr>
      </w:pPr>
      <w:r>
        <w:rPr>
          <w:rFonts w:hint="eastAsia" w:ascii="宋体" w:hAnsi="宋体"/>
          <w:color w:val="auto"/>
        </w:rPr>
        <w:t xml:space="preserve">2.3  </w:t>
      </w:r>
      <w:r>
        <w:rPr>
          <w:rFonts w:hint="eastAsia" w:ascii="宋体" w:hAnsi="宋体"/>
          <w:color w:val="auto"/>
        </w:rPr>
        <w:t>本工程以中介预算价下浮</w:t>
      </w:r>
      <w:r>
        <w:rPr>
          <w:rFonts w:hint="eastAsia" w:ascii="宋体" w:hAnsi="宋体"/>
          <w:color w:val="auto"/>
          <w:lang w:val="en-US" w:eastAsia="zh-CN"/>
        </w:rPr>
        <w:t>8</w:t>
      </w:r>
      <w:r>
        <w:rPr>
          <w:rFonts w:hint="eastAsia" w:ascii="宋体" w:hAnsi="宋体"/>
          <w:color w:val="auto"/>
        </w:rPr>
        <w:t>%作为</w:t>
      </w:r>
      <w:r>
        <w:rPr>
          <w:rFonts w:hint="eastAsia" w:ascii="宋体" w:hAnsi="宋体"/>
          <w:color w:val="auto"/>
          <w:szCs w:val="21"/>
        </w:rPr>
        <w:t>投标报价上限价，即投标报价上限价=</w:t>
      </w:r>
      <w:r>
        <w:rPr>
          <w:rFonts w:hint="eastAsia" w:ascii="宋体" w:hAnsi="宋体"/>
          <w:color w:val="auto"/>
        </w:rPr>
        <w:t>¥</w:t>
      </w:r>
      <w:r>
        <w:rPr>
          <w:rFonts w:hint="eastAsia" w:ascii="宋体" w:hAnsi="宋体"/>
          <w:color w:val="auto"/>
          <w:szCs w:val="21"/>
          <w:u w:val="single"/>
        </w:rPr>
        <w:t xml:space="preserve"> </w:t>
      </w:r>
      <w:r>
        <w:rPr>
          <w:rFonts w:hint="eastAsia" w:ascii="宋体" w:hAnsi="宋体"/>
          <w:color w:val="auto"/>
          <w:u w:val="single"/>
          <w:lang w:eastAsia="zh-CN"/>
        </w:rPr>
        <w:t>207271.41</w:t>
      </w:r>
      <w:r>
        <w:rPr>
          <w:rFonts w:hint="eastAsia" w:ascii="宋体" w:hAnsi="宋体"/>
          <w:color w:val="auto"/>
          <w:u w:val="single"/>
        </w:rPr>
        <w:t>元×（1-</w:t>
      </w:r>
      <w:r>
        <w:rPr>
          <w:rFonts w:hint="eastAsia" w:ascii="宋体" w:hAnsi="宋体"/>
          <w:color w:val="auto"/>
          <w:u w:val="single"/>
          <w:lang w:val="en-US" w:eastAsia="zh-CN"/>
        </w:rPr>
        <w:t>8</w:t>
      </w:r>
      <w:r>
        <w:rPr>
          <w:rFonts w:hint="eastAsia" w:ascii="宋体" w:hAnsi="宋体"/>
          <w:color w:val="auto"/>
          <w:u w:val="single"/>
        </w:rPr>
        <w:t>%）=</w:t>
      </w:r>
      <w:r>
        <w:rPr>
          <w:rFonts w:hint="eastAsia" w:ascii="宋体" w:hAnsi="宋体"/>
          <w:color w:val="auto"/>
        </w:rPr>
        <w:t>¥</w:t>
      </w:r>
      <w:r>
        <w:rPr>
          <w:rFonts w:hint="eastAsia" w:ascii="宋体" w:hAnsi="宋体"/>
          <w:color w:val="auto"/>
          <w:u w:val="single"/>
          <w:lang w:val="en-US" w:eastAsia="zh-CN"/>
        </w:rPr>
        <w:t>190689.69</w:t>
      </w:r>
      <w:r>
        <w:rPr>
          <w:rFonts w:hint="eastAsia" w:ascii="宋体" w:hAnsi="宋体"/>
          <w:color w:val="auto"/>
          <w:u w:val="single"/>
        </w:rPr>
        <w:t>元</w:t>
      </w:r>
      <w:r>
        <w:rPr>
          <w:rFonts w:hint="eastAsia" w:ascii="宋体" w:hAnsi="宋体"/>
          <w:color w:val="auto"/>
          <w:szCs w:val="21"/>
        </w:rPr>
        <w:t>。</w:t>
      </w:r>
    </w:p>
    <w:p>
      <w:pPr>
        <w:spacing w:line="336" w:lineRule="auto"/>
        <w:ind w:firstLine="480" w:firstLineChars="200"/>
        <w:rPr>
          <w:rFonts w:ascii="宋体" w:hAnsi="宋体"/>
          <w:color w:val="auto"/>
          <w:szCs w:val="21"/>
        </w:rPr>
      </w:pPr>
      <w:r>
        <w:rPr>
          <w:rFonts w:hint="eastAsia" w:ascii="宋体" w:hAnsi="宋体"/>
          <w:color w:val="auto"/>
          <w:szCs w:val="21"/>
        </w:rPr>
        <w:t>本工程绿色施工安全防护措施费为：</w:t>
      </w:r>
      <w:r>
        <w:rPr>
          <w:rFonts w:hint="eastAsia" w:ascii="宋体" w:hAnsi="宋体"/>
          <w:color w:val="auto"/>
        </w:rPr>
        <w:t>¥</w:t>
      </w:r>
      <w:r>
        <w:rPr>
          <w:rFonts w:hint="eastAsia" w:ascii="宋体" w:hAnsi="宋体"/>
          <w:color w:val="auto"/>
          <w:u w:val="single"/>
          <w:lang w:val="en-US" w:eastAsia="zh-CN"/>
        </w:rPr>
        <w:t>5732.07</w:t>
      </w:r>
      <w:r>
        <w:rPr>
          <w:rFonts w:hint="eastAsia" w:ascii="宋体" w:hAnsi="宋体"/>
          <w:color w:val="auto"/>
          <w:u w:val="single"/>
        </w:rPr>
        <w:t>元</w:t>
      </w:r>
      <w:r>
        <w:rPr>
          <w:rFonts w:hint="eastAsia" w:ascii="宋体" w:hAnsi="宋体"/>
          <w:color w:val="auto"/>
          <w:szCs w:val="21"/>
        </w:rPr>
        <w:t>（</w:t>
      </w:r>
      <w:r>
        <w:rPr>
          <w:rFonts w:hint="eastAsia" w:ascii="宋体" w:hAnsi="宋体"/>
          <w:color w:val="auto"/>
          <w:szCs w:val="21"/>
          <w:lang w:eastAsia="zh-CN"/>
        </w:rPr>
        <w:t>税前</w:t>
      </w:r>
      <w:r>
        <w:rPr>
          <w:rFonts w:hint="eastAsia" w:ascii="宋体" w:hAnsi="宋体"/>
          <w:color w:val="auto"/>
          <w:szCs w:val="21"/>
        </w:rPr>
        <w:t>），投标报价超出投标报价上限价的或绿色施工安全防护措施费小于本工程招标控制价中绿色施工安全防护措施费的作废标处理。</w:t>
      </w:r>
    </w:p>
    <w:p>
      <w:pPr>
        <w:spacing w:line="336" w:lineRule="auto"/>
        <w:rPr>
          <w:rFonts w:ascii="宋体" w:hAnsi="宋体"/>
          <w:color w:val="auto"/>
          <w:szCs w:val="21"/>
        </w:rPr>
      </w:pPr>
      <w:r>
        <w:rPr>
          <w:rFonts w:hint="eastAsia" w:ascii="宋体" w:hAnsi="宋体"/>
          <w:color w:val="auto"/>
          <w:szCs w:val="21"/>
        </w:rPr>
        <w:t>2.4评标办法：经评审的最低投标价法。</w:t>
      </w:r>
    </w:p>
    <w:p>
      <w:pPr>
        <w:spacing w:line="336" w:lineRule="auto"/>
        <w:rPr>
          <w:rFonts w:ascii="宋体" w:hAnsi="宋体"/>
          <w:b/>
          <w:color w:val="auto"/>
        </w:rPr>
      </w:pPr>
      <w:bookmarkStart w:id="6" w:name="_Toc184635055"/>
      <w:bookmarkStart w:id="7" w:name="_Toc45126819"/>
      <w:r>
        <w:rPr>
          <w:rFonts w:hint="eastAsia" w:ascii="宋体" w:hAnsi="宋体"/>
          <w:b/>
          <w:color w:val="auto"/>
        </w:rPr>
        <w:t>3.投标人资格要求</w:t>
      </w:r>
      <w:bookmarkEnd w:id="6"/>
      <w:bookmarkEnd w:id="7"/>
    </w:p>
    <w:p>
      <w:pPr>
        <w:spacing w:line="336" w:lineRule="auto"/>
        <w:rPr>
          <w:rFonts w:ascii="宋体" w:hAnsi="宋体" w:cs="Arial"/>
          <w:color w:val="auto"/>
        </w:rPr>
      </w:pPr>
      <w:r>
        <w:rPr>
          <w:rFonts w:hint="eastAsia" w:ascii="宋体" w:hAnsi="宋体" w:cs="Arial"/>
          <w:color w:val="auto"/>
        </w:rPr>
        <w:t>3.1</w:t>
      </w:r>
      <w:r>
        <w:rPr>
          <w:rFonts w:ascii="宋体" w:hAnsi="宋体" w:cs="Arial"/>
          <w:color w:val="auto"/>
        </w:rPr>
        <w:t>具有独立法人资格的企业</w:t>
      </w:r>
      <w:r>
        <w:rPr>
          <w:rFonts w:hint="eastAsia" w:ascii="宋体" w:hAnsi="宋体" w:cs="Arial"/>
          <w:color w:val="auto"/>
        </w:rPr>
        <w:t>；</w:t>
      </w:r>
    </w:p>
    <w:p>
      <w:pPr>
        <w:pStyle w:val="26"/>
        <w:spacing w:before="0" w:beforeAutospacing="0" w:after="0" w:afterAutospacing="0" w:line="336" w:lineRule="auto"/>
        <w:rPr>
          <w:rFonts w:hint="eastAsia" w:eastAsia="宋体" w:cs="Times New Roman"/>
          <w:b/>
          <w:color w:val="auto"/>
          <w:kern w:val="2"/>
          <w:lang w:eastAsia="zh-CN"/>
        </w:rPr>
      </w:pPr>
      <w:bookmarkStart w:id="8" w:name="_Toc184635056"/>
      <w:r>
        <w:rPr>
          <w:rFonts w:hint="eastAsia" w:cs="Times New Roman"/>
          <w:b/>
          <w:color w:val="auto"/>
          <w:kern w:val="2"/>
        </w:rPr>
        <w:t>3.2</w:t>
      </w:r>
      <w:r>
        <w:rPr>
          <w:rFonts w:hint="eastAsia"/>
          <w:color w:val="auto"/>
        </w:rPr>
        <w:t>投标人须具有有效的</w:t>
      </w:r>
      <w:r>
        <w:rPr>
          <w:rFonts w:hint="eastAsia"/>
          <w:color w:val="auto"/>
          <w:lang w:eastAsia="zh-CN"/>
        </w:rPr>
        <w:t>电子与智能化工程专业承包二级或以上资</w:t>
      </w:r>
      <w:r>
        <w:rPr>
          <w:rFonts w:hint="eastAsia"/>
          <w:color w:val="auto"/>
        </w:rPr>
        <w:t>，并具有有效期内的安全生产许可证（提供资质证书和安全生产许可证复印件并加盖公章, 如安全生产许可证为电子证书，提供含有行政审批部门专用章电子签章及二维码的安全生产许可证文件。</w:t>
      </w:r>
      <w:r>
        <w:rPr>
          <w:rFonts w:hint="eastAsia"/>
          <w:color w:val="auto"/>
          <w:lang w:eastAsia="zh-CN"/>
        </w:rPr>
        <w:t>）</w:t>
      </w:r>
    </w:p>
    <w:p>
      <w:pPr>
        <w:pStyle w:val="26"/>
        <w:spacing w:before="0" w:beforeAutospacing="0" w:after="0" w:afterAutospacing="0" w:line="336" w:lineRule="auto"/>
        <w:rPr>
          <w:rFonts w:cs="Times New Roman"/>
          <w:color w:val="auto"/>
          <w:kern w:val="2"/>
        </w:rPr>
      </w:pPr>
      <w:r>
        <w:rPr>
          <w:rFonts w:hint="eastAsia" w:cs="Times New Roman"/>
          <w:color w:val="auto"/>
          <w:kern w:val="2"/>
        </w:rPr>
        <w:t>3.3其他要求：具有招标人发出的投标邀请函。</w:t>
      </w:r>
    </w:p>
    <w:p>
      <w:pPr>
        <w:pStyle w:val="26"/>
        <w:spacing w:before="0" w:beforeAutospacing="0" w:after="0" w:afterAutospacing="0" w:line="336" w:lineRule="auto"/>
        <w:rPr>
          <w:rFonts w:cs="Times New Roman"/>
          <w:color w:val="auto"/>
          <w:kern w:val="2"/>
        </w:rPr>
      </w:pPr>
      <w:r>
        <w:rPr>
          <w:rFonts w:hint="eastAsia" w:cs="Times New Roman"/>
          <w:color w:val="auto"/>
          <w:kern w:val="2"/>
        </w:rPr>
        <w:t>3.4本次招标</w:t>
      </w:r>
      <w:r>
        <w:rPr>
          <w:rFonts w:hint="eastAsia" w:cs="Times New Roman"/>
          <w:color w:val="auto"/>
          <w:kern w:val="2"/>
          <w:u w:val="single"/>
          <w:lang w:val="en-US" w:eastAsia="zh-CN"/>
        </w:rPr>
        <w:t xml:space="preserve"> </w:t>
      </w:r>
      <w:r>
        <w:rPr>
          <w:rFonts w:hint="eastAsia" w:cs="Times New Roman"/>
          <w:color w:val="auto"/>
          <w:kern w:val="2"/>
          <w:u w:val="single"/>
        </w:rPr>
        <w:t>不接受</w:t>
      </w:r>
      <w:r>
        <w:rPr>
          <w:rFonts w:hint="eastAsia" w:cs="Times New Roman"/>
          <w:color w:val="auto"/>
          <w:kern w:val="2"/>
          <w:u w:val="single"/>
          <w:lang w:val="en-US" w:eastAsia="zh-CN"/>
        </w:rPr>
        <w:t xml:space="preserve"> </w:t>
      </w:r>
      <w:r>
        <w:rPr>
          <w:rFonts w:hint="eastAsia" w:cs="Times New Roman"/>
          <w:color w:val="auto"/>
          <w:kern w:val="2"/>
        </w:rPr>
        <w:t>联合体投标。</w:t>
      </w:r>
    </w:p>
    <w:p>
      <w:pPr>
        <w:pStyle w:val="26"/>
        <w:spacing w:before="0" w:beforeAutospacing="0" w:after="0" w:afterAutospacing="0" w:line="336" w:lineRule="auto"/>
        <w:rPr>
          <w:rFonts w:cs="Times New Roman"/>
          <w:color w:val="auto"/>
          <w:kern w:val="2"/>
        </w:rPr>
      </w:pPr>
      <w:r>
        <w:rPr>
          <w:rFonts w:hint="eastAsia" w:cs="Times New Roman"/>
          <w:color w:val="auto"/>
          <w:kern w:val="2"/>
        </w:rPr>
        <w:t>3.5各投标人均可就上述标段中的</w:t>
      </w:r>
      <w:r>
        <w:rPr>
          <w:rFonts w:hint="eastAsia" w:cs="Times New Roman"/>
          <w:color w:val="auto"/>
          <w:kern w:val="2"/>
          <w:u w:val="single"/>
        </w:rPr>
        <w:t xml:space="preserve"> 1 </w:t>
      </w:r>
      <w:r>
        <w:rPr>
          <w:rFonts w:hint="eastAsia" w:cs="Times New Roman"/>
          <w:color w:val="auto"/>
          <w:kern w:val="2"/>
        </w:rPr>
        <w:t>个标段投标。</w:t>
      </w:r>
    </w:p>
    <w:p>
      <w:pPr>
        <w:numPr>
          <w:ilvl w:val="0"/>
          <w:numId w:val="1"/>
        </w:numPr>
        <w:spacing w:line="336" w:lineRule="auto"/>
        <w:rPr>
          <w:rFonts w:hint="eastAsia" w:ascii="宋体" w:hAnsi="宋体"/>
          <w:b/>
          <w:color w:val="auto"/>
        </w:rPr>
      </w:pPr>
      <w:r>
        <w:rPr>
          <w:rFonts w:hint="eastAsia" w:ascii="宋体" w:hAnsi="宋体"/>
          <w:b/>
          <w:color w:val="auto"/>
        </w:rPr>
        <w:t>招标文件的获取</w:t>
      </w:r>
      <w:bookmarkEnd w:id="8"/>
    </w:p>
    <w:p>
      <w:pPr>
        <w:spacing w:line="336" w:lineRule="auto"/>
        <w:ind w:firstLine="566" w:firstLineChars="236"/>
        <w:rPr>
          <w:rFonts w:ascii="宋体" w:hAnsi="宋体" w:cs="宋体"/>
          <w:color w:val="auto"/>
        </w:rPr>
      </w:pPr>
      <w:bookmarkStart w:id="9" w:name="_Toc184635057"/>
      <w:bookmarkStart w:id="10" w:name="_Toc184635058"/>
      <w:r>
        <w:rPr>
          <w:rFonts w:hint="eastAsia" w:ascii="宋体" w:hAnsi="宋体"/>
          <w:color w:val="auto"/>
        </w:rPr>
        <w:t>邀请招标公告发出后，投标人应在</w:t>
      </w:r>
      <w:r>
        <w:rPr>
          <w:rFonts w:hint="eastAsia" w:ascii="宋体" w:hAnsi="宋体"/>
          <w:color w:val="auto"/>
          <w:u w:val="single"/>
        </w:rPr>
        <w:t>2021年</w:t>
      </w:r>
      <w:r>
        <w:rPr>
          <w:rFonts w:hint="eastAsia" w:ascii="宋体" w:hAnsi="宋体"/>
          <w:color w:val="auto"/>
          <w:u w:val="single"/>
          <w:lang w:val="en-US" w:eastAsia="zh-CN"/>
        </w:rPr>
        <w:t>12</w:t>
      </w:r>
      <w:r>
        <w:rPr>
          <w:rFonts w:hint="eastAsia" w:ascii="宋体" w:hAnsi="宋体"/>
          <w:color w:val="auto"/>
          <w:u w:val="single"/>
        </w:rPr>
        <w:t>月</w:t>
      </w:r>
      <w:r>
        <w:rPr>
          <w:rFonts w:hint="eastAsia" w:ascii="宋体" w:hAnsi="宋体"/>
          <w:color w:val="auto"/>
          <w:u w:val="single"/>
          <w:lang w:val="en-US" w:eastAsia="zh-CN"/>
        </w:rPr>
        <w:t>10</w:t>
      </w:r>
      <w:r>
        <w:rPr>
          <w:rFonts w:hint="eastAsia" w:ascii="宋体" w:hAnsi="宋体"/>
          <w:color w:val="auto"/>
          <w:u w:val="single"/>
        </w:rPr>
        <w:t>日</w:t>
      </w:r>
      <w:r>
        <w:rPr>
          <w:rFonts w:hint="eastAsia" w:ascii="宋体" w:hAnsi="宋体"/>
          <w:color w:val="auto"/>
        </w:rPr>
        <w:t>至</w:t>
      </w:r>
      <w:r>
        <w:rPr>
          <w:rFonts w:hint="eastAsia" w:ascii="宋体" w:hAnsi="宋体"/>
          <w:color w:val="auto"/>
          <w:u w:val="single"/>
        </w:rPr>
        <w:t>2021年1</w:t>
      </w:r>
      <w:r>
        <w:rPr>
          <w:rFonts w:hint="eastAsia" w:ascii="宋体" w:hAnsi="宋体"/>
          <w:color w:val="auto"/>
          <w:u w:val="single"/>
          <w:lang w:val="en-US" w:eastAsia="zh-CN"/>
        </w:rPr>
        <w:t>2</w:t>
      </w:r>
      <w:r>
        <w:rPr>
          <w:rFonts w:hint="eastAsia" w:ascii="宋体" w:hAnsi="宋体"/>
          <w:color w:val="auto"/>
          <w:u w:val="single"/>
        </w:rPr>
        <w:t>月</w:t>
      </w:r>
      <w:r>
        <w:rPr>
          <w:rFonts w:hint="eastAsia" w:ascii="宋体" w:hAnsi="宋体"/>
          <w:color w:val="auto"/>
          <w:u w:val="single"/>
          <w:lang w:val="en-US" w:eastAsia="zh-CN"/>
        </w:rPr>
        <w:t>16</w:t>
      </w:r>
      <w:r>
        <w:rPr>
          <w:rFonts w:hint="eastAsia" w:ascii="宋体" w:hAnsi="宋体"/>
          <w:color w:val="auto"/>
          <w:u w:val="single"/>
        </w:rPr>
        <w:t>日</w:t>
      </w:r>
      <w:r>
        <w:rPr>
          <w:rFonts w:hint="eastAsia" w:ascii="宋体" w:hAnsi="宋体"/>
          <w:color w:val="auto"/>
        </w:rPr>
        <w:t>17时30分止，时间</w:t>
      </w:r>
      <w:r>
        <w:rPr>
          <w:rFonts w:hint="eastAsia" w:ascii="宋体" w:hAnsi="宋体"/>
          <w:color w:val="auto"/>
          <w:u w:val="single"/>
        </w:rPr>
        <w:t>上午08:30至12:00，下午14:00至17:30（北京时间，法定节假日除外）</w:t>
      </w:r>
      <w:r>
        <w:rPr>
          <w:rFonts w:hint="eastAsia" w:ascii="宋体" w:hAnsi="宋体" w:cs="宋体"/>
          <w:color w:val="auto"/>
        </w:rPr>
        <w:t>，在</w:t>
      </w:r>
      <w:r>
        <w:rPr>
          <w:rFonts w:hint="eastAsia" w:ascii="宋体" w:hAnsi="宋体" w:cs="宋体"/>
          <w:color w:val="auto"/>
          <w:u w:val="single"/>
        </w:rPr>
        <w:t>中山市东区长江路33号汉宏盈基商务中心406室（方禾（广东）项目管理有限公司）</w:t>
      </w:r>
      <w:r>
        <w:rPr>
          <w:rFonts w:hint="eastAsia" w:ascii="宋体" w:hAnsi="宋体" w:cs="宋体"/>
          <w:color w:val="auto"/>
        </w:rPr>
        <w:t xml:space="preserve">获取招标文件。 </w:t>
      </w:r>
      <w:bookmarkStart w:id="47" w:name="_GoBack"/>
      <w:bookmarkEnd w:id="47"/>
    </w:p>
    <w:p>
      <w:pPr>
        <w:spacing w:line="336" w:lineRule="auto"/>
        <w:ind w:firstLine="420" w:firstLineChars="175"/>
        <w:rPr>
          <w:rFonts w:ascii="宋体" w:hAnsi="宋体" w:cs="宋体"/>
          <w:color w:val="auto"/>
        </w:rPr>
      </w:pPr>
      <w:r>
        <w:rPr>
          <w:rFonts w:hint="eastAsia" w:ascii="宋体" w:hAnsi="宋体" w:cs="宋体"/>
          <w:color w:val="auto"/>
        </w:rPr>
        <w:t>（1）获取招标文件时提交的资料：1）有效的营业执照副本复印件；2）经办人有效身份证复印件，以上所有复印件请加盖公章。</w:t>
      </w:r>
    </w:p>
    <w:p>
      <w:pPr>
        <w:spacing w:line="336" w:lineRule="auto"/>
        <w:ind w:firstLine="420" w:firstLineChars="175"/>
        <w:rPr>
          <w:rFonts w:ascii="宋体" w:hAnsi="宋体" w:cs="宋体"/>
          <w:color w:val="auto"/>
        </w:rPr>
      </w:pPr>
      <w:r>
        <w:rPr>
          <w:rFonts w:hint="eastAsia" w:ascii="宋体" w:hAnsi="宋体" w:cs="宋体"/>
          <w:color w:val="auto"/>
        </w:rPr>
        <w:t>（2）获取招标文件方式：投标人应当在规定时间内递交资料及获取招</w:t>
      </w:r>
      <w:r>
        <w:rPr>
          <w:rFonts w:hint="eastAsia" w:ascii="宋体" w:hAnsi="宋体"/>
          <w:bCs/>
          <w:color w:val="auto"/>
        </w:rPr>
        <w:t>标文件费用400元</w:t>
      </w:r>
      <w:r>
        <w:rPr>
          <w:rFonts w:hint="eastAsia" w:ascii="宋体" w:hAnsi="宋体" w:cs="宋体"/>
          <w:color w:val="auto"/>
        </w:rPr>
        <w:t>并领取招标文件。</w:t>
      </w:r>
    </w:p>
    <w:p>
      <w:pPr>
        <w:spacing w:line="336" w:lineRule="auto"/>
        <w:rPr>
          <w:rFonts w:ascii="宋体" w:hAnsi="宋体"/>
          <w:b/>
          <w:color w:val="auto"/>
        </w:rPr>
      </w:pPr>
      <w:r>
        <w:rPr>
          <w:rFonts w:hint="eastAsia" w:ascii="宋体" w:hAnsi="宋体"/>
          <w:b/>
          <w:color w:val="auto"/>
        </w:rPr>
        <w:t>5.招标答疑</w:t>
      </w:r>
    </w:p>
    <w:p>
      <w:pPr>
        <w:spacing w:line="336" w:lineRule="auto"/>
        <w:ind w:firstLine="480" w:firstLineChars="200"/>
        <w:rPr>
          <w:rFonts w:ascii="宋体" w:hAnsi="宋体" w:cs="宋体"/>
          <w:color w:val="auto"/>
        </w:rPr>
      </w:pPr>
      <w:r>
        <w:rPr>
          <w:rFonts w:hint="eastAsia" w:ascii="宋体" w:hAnsi="宋体" w:cs="宋体"/>
          <w:color w:val="auto"/>
        </w:rPr>
        <w:t>各投标单位将有关问题以书面或者邮件发送扫描件的形式提供</w:t>
      </w:r>
      <w:r>
        <w:rPr>
          <w:rFonts w:hint="eastAsia" w:ascii="宋体" w:hAnsi="宋体" w:cs="宋体"/>
          <w:color w:val="auto"/>
          <w:lang w:eastAsia="zh-CN"/>
        </w:rPr>
        <w:t>至</w:t>
      </w:r>
      <w:r>
        <w:rPr>
          <w:rFonts w:hint="eastAsia" w:ascii="宋体" w:hAnsi="宋体" w:cs="宋体"/>
          <w:color w:val="auto"/>
        </w:rPr>
        <w:t>招标代理机构；答疑文件将以书面形式发给所有投标人单位，但不指明答疑问题的来源。（联系人：刘小姐 ，联系电话：</w:t>
      </w:r>
      <w:r>
        <w:rPr>
          <w:rFonts w:ascii="宋体" w:hAnsi="宋体" w:cs="宋体"/>
          <w:color w:val="auto"/>
          <w:u w:val="single"/>
        </w:rPr>
        <w:t>0760-86937513</w:t>
      </w:r>
      <w:r>
        <w:rPr>
          <w:rFonts w:hint="eastAsia" w:ascii="宋体" w:hAnsi="宋体" w:cs="宋体"/>
          <w:color w:val="auto"/>
        </w:rPr>
        <w:t>，邮箱：</w:t>
      </w:r>
      <w:r>
        <w:rPr>
          <w:rFonts w:ascii="宋体" w:hAnsi="宋体" w:cs="宋体"/>
          <w:color w:val="auto"/>
          <w:u w:val="single"/>
        </w:rPr>
        <w:t>fhxmgl@163.com</w:t>
      </w:r>
      <w:r>
        <w:rPr>
          <w:rFonts w:hint="eastAsia" w:ascii="宋体" w:hAnsi="宋体" w:cs="宋体"/>
          <w:color w:val="auto"/>
          <w:u w:val="single"/>
        </w:rPr>
        <w:t>，</w:t>
      </w:r>
      <w:r>
        <w:rPr>
          <w:rFonts w:hint="eastAsia" w:ascii="宋体" w:hAnsi="宋体" w:cs="宋体"/>
          <w:color w:val="auto"/>
        </w:rPr>
        <w:t>地址：</w:t>
      </w:r>
      <w:r>
        <w:rPr>
          <w:rFonts w:hint="eastAsia" w:ascii="宋体" w:hAnsi="宋体"/>
          <w:bCs/>
          <w:color w:val="auto"/>
          <w:u w:val="single"/>
        </w:rPr>
        <w:t>中山市东区长江路33号汉宏盈基商务中心406室，方禾（广东）项目管理有限公司</w:t>
      </w:r>
      <w:r>
        <w:rPr>
          <w:rFonts w:hint="eastAsia" w:ascii="宋体" w:hAnsi="宋体" w:cs="宋体"/>
          <w:color w:val="auto"/>
        </w:rPr>
        <w:t>）。</w:t>
      </w:r>
    </w:p>
    <w:p>
      <w:pPr>
        <w:spacing w:line="336" w:lineRule="auto"/>
        <w:rPr>
          <w:rFonts w:ascii="宋体" w:hAnsi="宋体"/>
          <w:b/>
          <w:color w:val="auto"/>
        </w:rPr>
      </w:pPr>
      <w:r>
        <w:rPr>
          <w:rFonts w:hint="eastAsia" w:ascii="宋体" w:hAnsi="宋体"/>
          <w:b/>
          <w:color w:val="auto"/>
        </w:rPr>
        <w:t>6.投标文件的递交</w:t>
      </w:r>
      <w:bookmarkEnd w:id="9"/>
    </w:p>
    <w:p>
      <w:pPr>
        <w:spacing w:line="336" w:lineRule="auto"/>
        <w:ind w:left="242" w:leftChars="0" w:hanging="242" w:hangingChars="101"/>
        <w:rPr>
          <w:rFonts w:ascii="宋体" w:hAnsi="宋体"/>
          <w:color w:val="auto"/>
        </w:rPr>
      </w:pPr>
      <w:r>
        <w:rPr>
          <w:rFonts w:hint="eastAsia" w:ascii="宋体" w:hAnsi="宋体"/>
          <w:color w:val="auto"/>
        </w:rPr>
        <w:t>6.1提交投标文件截止时间：</w:t>
      </w:r>
      <w:r>
        <w:rPr>
          <w:rFonts w:hint="eastAsia" w:ascii="宋体" w:hAnsi="宋体"/>
          <w:color w:val="auto"/>
          <w:u w:val="single"/>
        </w:rPr>
        <w:t>2021年</w:t>
      </w:r>
      <w:r>
        <w:rPr>
          <w:rFonts w:hint="eastAsia" w:ascii="宋体" w:hAnsi="宋体"/>
          <w:color w:val="auto"/>
          <w:u w:val="single"/>
          <w:lang w:val="en-US" w:eastAsia="zh-CN"/>
        </w:rPr>
        <w:t>12</w:t>
      </w:r>
      <w:r>
        <w:rPr>
          <w:rFonts w:hint="eastAsia" w:ascii="宋体" w:hAnsi="宋体"/>
          <w:color w:val="auto"/>
          <w:u w:val="single"/>
        </w:rPr>
        <w:t>月</w:t>
      </w:r>
      <w:r>
        <w:rPr>
          <w:rFonts w:hint="eastAsia" w:ascii="宋体" w:hAnsi="宋体"/>
          <w:color w:val="auto"/>
          <w:u w:val="single"/>
          <w:lang w:val="en-US" w:eastAsia="zh-CN"/>
        </w:rPr>
        <w:t>21</w:t>
      </w:r>
      <w:r>
        <w:rPr>
          <w:rFonts w:hint="eastAsia" w:ascii="宋体" w:hAnsi="宋体"/>
          <w:color w:val="auto"/>
          <w:u w:val="single"/>
        </w:rPr>
        <w:t>日</w:t>
      </w:r>
      <w:r>
        <w:rPr>
          <w:rFonts w:hint="eastAsia" w:ascii="宋体" w:hAnsi="宋体"/>
          <w:color w:val="auto"/>
          <w:u w:val="single"/>
          <w:lang w:val="en-US" w:eastAsia="zh-CN"/>
        </w:rPr>
        <w:t>14</w:t>
      </w:r>
      <w:r>
        <w:rPr>
          <w:rFonts w:hint="eastAsia" w:ascii="宋体" w:hAnsi="宋体"/>
          <w:color w:val="auto"/>
          <w:u w:val="single"/>
        </w:rPr>
        <w:t>时</w:t>
      </w:r>
      <w:r>
        <w:rPr>
          <w:rFonts w:hint="eastAsia" w:ascii="宋体" w:hAnsi="宋体"/>
          <w:color w:val="auto"/>
          <w:u w:val="single"/>
          <w:lang w:val="en-US" w:eastAsia="zh-CN"/>
        </w:rPr>
        <w:t>30</w:t>
      </w:r>
      <w:r>
        <w:rPr>
          <w:rFonts w:hint="eastAsia" w:ascii="宋体" w:hAnsi="宋体"/>
          <w:color w:val="auto"/>
          <w:u w:val="single"/>
        </w:rPr>
        <w:t>分</w:t>
      </w:r>
      <w:r>
        <w:rPr>
          <w:rFonts w:hint="eastAsia" w:ascii="宋体" w:hAnsi="宋体"/>
          <w:color w:val="auto"/>
        </w:rPr>
        <w:t>（北京时间）（注：</w:t>
      </w:r>
      <w:r>
        <w:rPr>
          <w:rFonts w:hint="eastAsia" w:ascii="宋体" w:hAnsi="宋体"/>
          <w:color w:val="auto"/>
          <w:u w:val="single"/>
        </w:rPr>
        <w:t>2021年</w:t>
      </w:r>
      <w:r>
        <w:rPr>
          <w:rFonts w:hint="eastAsia" w:ascii="宋体" w:hAnsi="宋体"/>
          <w:color w:val="auto"/>
          <w:u w:val="single"/>
          <w:lang w:val="en-US" w:eastAsia="zh-CN"/>
        </w:rPr>
        <w:t>12</w:t>
      </w:r>
      <w:r>
        <w:rPr>
          <w:rFonts w:hint="eastAsia" w:ascii="宋体" w:hAnsi="宋体"/>
          <w:color w:val="auto"/>
          <w:u w:val="single"/>
        </w:rPr>
        <w:t>月</w:t>
      </w:r>
      <w:r>
        <w:rPr>
          <w:rFonts w:hint="eastAsia" w:ascii="宋体" w:hAnsi="宋体"/>
          <w:color w:val="auto"/>
          <w:u w:val="single"/>
          <w:lang w:val="en-US" w:eastAsia="zh-CN"/>
        </w:rPr>
        <w:t>21</w:t>
      </w:r>
      <w:r>
        <w:rPr>
          <w:rFonts w:hint="eastAsia" w:ascii="宋体" w:hAnsi="宋体"/>
          <w:color w:val="auto"/>
          <w:u w:val="single"/>
        </w:rPr>
        <w:t>日</w:t>
      </w:r>
      <w:r>
        <w:rPr>
          <w:rFonts w:hint="eastAsia" w:ascii="宋体" w:hAnsi="宋体"/>
          <w:color w:val="auto"/>
          <w:u w:val="single"/>
          <w:lang w:val="en-US" w:eastAsia="zh-CN"/>
        </w:rPr>
        <w:t>14</w:t>
      </w:r>
      <w:r>
        <w:rPr>
          <w:rFonts w:hint="eastAsia" w:ascii="宋体" w:hAnsi="宋体"/>
          <w:color w:val="auto"/>
          <w:u w:val="single"/>
        </w:rPr>
        <w:t>时</w:t>
      </w:r>
      <w:r>
        <w:rPr>
          <w:rFonts w:hint="eastAsia" w:ascii="宋体" w:hAnsi="宋体"/>
          <w:color w:val="auto"/>
          <w:u w:val="single"/>
          <w:lang w:val="en-US" w:eastAsia="zh-CN"/>
        </w:rPr>
        <w:t>00</w:t>
      </w:r>
      <w:r>
        <w:rPr>
          <w:rFonts w:hint="eastAsia" w:ascii="宋体" w:hAnsi="宋体"/>
          <w:color w:val="auto"/>
          <w:u w:val="single"/>
        </w:rPr>
        <w:t>分</w:t>
      </w:r>
      <w:r>
        <w:rPr>
          <w:rFonts w:hint="eastAsia" w:ascii="宋体" w:hAnsi="宋体"/>
          <w:color w:val="auto"/>
        </w:rPr>
        <w:t>开始受理投标文件</w:t>
      </w:r>
      <w:r>
        <w:rPr>
          <w:rFonts w:hint="eastAsia" w:ascii="宋体" w:hAnsi="宋体"/>
          <w:color w:val="auto"/>
        </w:rPr>
        <w:t>）。</w:t>
      </w:r>
    </w:p>
    <w:p>
      <w:pPr>
        <w:spacing w:line="336" w:lineRule="auto"/>
        <w:ind w:left="242" w:leftChars="0" w:hanging="242" w:hangingChars="101"/>
        <w:rPr>
          <w:rFonts w:ascii="宋体" w:hAnsi="宋体"/>
          <w:color w:val="auto"/>
        </w:rPr>
      </w:pPr>
      <w:r>
        <w:rPr>
          <w:rFonts w:hint="eastAsia" w:ascii="宋体" w:hAnsi="宋体"/>
          <w:color w:val="auto"/>
        </w:rPr>
        <w:t>6.2提交投标文件地点：中山市东区长江路33号汉宏盈基商务中心406室，方禾（广东）项目管理有限公司。开标地点同提交投标文件地点。</w:t>
      </w:r>
    </w:p>
    <w:p>
      <w:pPr>
        <w:spacing w:line="336" w:lineRule="auto"/>
        <w:ind w:left="242" w:leftChars="0" w:hanging="242" w:hangingChars="101"/>
        <w:rPr>
          <w:rFonts w:ascii="宋体" w:hAnsi="宋体"/>
          <w:color w:val="auto"/>
        </w:rPr>
      </w:pPr>
      <w:r>
        <w:rPr>
          <w:rFonts w:hint="eastAsia" w:ascii="宋体" w:hAnsi="宋体"/>
          <w:color w:val="auto"/>
        </w:rPr>
        <w:t>6.3逾期送达的或者未送达指定地点的投标文件将被拒绝。</w:t>
      </w:r>
    </w:p>
    <w:p>
      <w:pPr>
        <w:spacing w:line="336" w:lineRule="auto"/>
        <w:rPr>
          <w:rFonts w:ascii="宋体" w:hAnsi="宋体"/>
          <w:b/>
          <w:color w:val="auto"/>
        </w:rPr>
      </w:pPr>
      <w:r>
        <w:rPr>
          <w:rFonts w:hint="eastAsia" w:ascii="宋体" w:hAnsi="宋体"/>
          <w:b/>
          <w:color w:val="auto"/>
        </w:rPr>
        <w:t>7.发出投标邀请函</w:t>
      </w:r>
    </w:p>
    <w:p>
      <w:pPr>
        <w:spacing w:line="336" w:lineRule="auto"/>
        <w:ind w:firstLine="480" w:firstLineChars="200"/>
        <w:rPr>
          <w:rFonts w:ascii="宋体" w:hAnsi="宋体" w:cs="宋体"/>
          <w:color w:val="auto"/>
        </w:rPr>
      </w:pPr>
      <w:r>
        <w:rPr>
          <w:rFonts w:hint="eastAsia" w:ascii="宋体" w:hAnsi="宋体" w:cs="宋体"/>
          <w:color w:val="auto"/>
        </w:rPr>
        <w:t>本次招标向被邀请单位发出投标邀请函。</w:t>
      </w:r>
    </w:p>
    <w:bookmarkEnd w:id="10"/>
    <w:p>
      <w:pPr>
        <w:spacing w:line="336" w:lineRule="auto"/>
        <w:rPr>
          <w:rFonts w:ascii="宋体" w:hAnsi="宋体"/>
          <w:b/>
          <w:color w:val="auto"/>
        </w:rPr>
      </w:pPr>
      <w:r>
        <w:rPr>
          <w:rFonts w:hint="eastAsia" w:ascii="宋体" w:hAnsi="宋体"/>
          <w:b/>
          <w:color w:val="auto"/>
        </w:rPr>
        <w:t>8.发布公告的媒介</w:t>
      </w:r>
    </w:p>
    <w:p>
      <w:pPr>
        <w:spacing w:line="336" w:lineRule="auto"/>
        <w:ind w:firstLine="480" w:firstLineChars="200"/>
        <w:rPr>
          <w:rFonts w:ascii="宋体" w:hAnsi="宋体"/>
          <w:color w:val="auto"/>
        </w:rPr>
      </w:pPr>
      <w:r>
        <w:rPr>
          <w:rFonts w:hint="eastAsia" w:ascii="宋体" w:hAnsi="宋体"/>
          <w:color w:val="auto"/>
        </w:rPr>
        <w:t>本次招标的相关信息公告在</w:t>
      </w:r>
      <w:r>
        <w:rPr>
          <w:rFonts w:hint="eastAsia" w:ascii="宋体" w:hAnsi="宋体"/>
          <w:color w:val="auto"/>
          <w:szCs w:val="21"/>
        </w:rPr>
        <w:t>招标代理机构网站（http://www.fanghegd.com/）、</w:t>
      </w:r>
      <w:r>
        <w:rPr>
          <w:rFonts w:hint="eastAsia" w:ascii="宋体" w:hAnsi="宋体"/>
          <w:color w:val="auto"/>
        </w:rPr>
        <w:t>村务公开栏上发布。</w:t>
      </w:r>
    </w:p>
    <w:p>
      <w:pPr>
        <w:spacing w:line="336" w:lineRule="auto"/>
        <w:rPr>
          <w:rFonts w:ascii="宋体" w:hAnsi="宋体"/>
          <w:b/>
          <w:color w:val="auto"/>
        </w:rPr>
      </w:pPr>
      <w:bookmarkStart w:id="11" w:name="_Toc184635059"/>
      <w:bookmarkStart w:id="12" w:name="_Toc45126821"/>
      <w:r>
        <w:rPr>
          <w:rFonts w:hint="eastAsia" w:ascii="宋体" w:hAnsi="宋体"/>
          <w:b/>
          <w:color w:val="auto"/>
        </w:rPr>
        <w:t>9.联系方式</w:t>
      </w:r>
      <w:bookmarkEnd w:id="11"/>
      <w:bookmarkEnd w:id="12"/>
    </w:p>
    <w:p>
      <w:pPr>
        <w:spacing w:line="336" w:lineRule="auto"/>
        <w:ind w:left="6605" w:hanging="6604" w:hangingChars="2752"/>
        <w:rPr>
          <w:rFonts w:ascii="宋体" w:hAnsi="宋体"/>
          <w:color w:val="auto"/>
        </w:rPr>
      </w:pPr>
      <w:r>
        <w:rPr>
          <w:rFonts w:hint="eastAsia" w:ascii="宋体" w:hAnsi="宋体"/>
          <w:color w:val="auto"/>
        </w:rPr>
        <w:t>招标人：</w:t>
      </w:r>
      <w:r>
        <w:rPr>
          <w:rFonts w:hint="eastAsia" w:ascii="宋体" w:hAnsi="宋体"/>
          <w:color w:val="auto"/>
          <w:u w:val="single"/>
          <w:lang w:eastAsia="zh-CN"/>
        </w:rPr>
        <w:t>中山市三乡镇西山社区居民委员会</w:t>
      </w:r>
      <w:r>
        <w:rPr>
          <w:rFonts w:hint="eastAsia" w:ascii="宋体" w:hAnsi="宋体"/>
          <w:color w:val="auto"/>
        </w:rPr>
        <w:t xml:space="preserve"> 招标代理机构：</w:t>
      </w:r>
      <w:r>
        <w:rPr>
          <w:rFonts w:hint="eastAsia" w:ascii="宋体" w:hAnsi="宋体"/>
          <w:color w:val="auto"/>
          <w:u w:val="single"/>
        </w:rPr>
        <w:t>方禾（广东）项目管理有限公司</w:t>
      </w:r>
    </w:p>
    <w:p>
      <w:pPr>
        <w:spacing w:line="336" w:lineRule="auto"/>
        <w:ind w:left="6367" w:leftChars="14" w:hanging="6333" w:hangingChars="2639"/>
        <w:rPr>
          <w:rFonts w:ascii="宋体" w:hAnsi="宋体"/>
          <w:color w:val="auto"/>
        </w:rPr>
      </w:pPr>
      <w:r>
        <w:rPr>
          <w:rFonts w:hint="eastAsia" w:ascii="宋体" w:hAnsi="宋体"/>
          <w:color w:val="auto"/>
        </w:rPr>
        <w:t>地址：</w:t>
      </w:r>
      <w:r>
        <w:rPr>
          <w:rFonts w:hint="eastAsia" w:ascii="宋体" w:hAnsi="宋体" w:cs="宋体"/>
          <w:color w:val="auto"/>
          <w:u w:val="single"/>
          <w:lang w:val="en-US" w:eastAsia="zh-CN"/>
        </w:rPr>
        <w:t xml:space="preserve"> </w:t>
      </w:r>
      <w:r>
        <w:rPr>
          <w:rFonts w:hint="eastAsia" w:ascii="宋体" w:hAnsi="宋体" w:cs="宋体"/>
          <w:color w:val="auto"/>
          <w:u w:val="single"/>
        </w:rPr>
        <w:t>中山市三乡镇西山村西山路50号</w:t>
      </w:r>
      <w:r>
        <w:rPr>
          <w:rFonts w:hint="eastAsia" w:ascii="宋体" w:hAnsi="宋体" w:cs="宋体"/>
          <w:color w:val="auto"/>
          <w:u w:val="single"/>
          <w:lang w:val="en-US" w:eastAsia="zh-CN"/>
        </w:rPr>
        <w:t xml:space="preserve"> </w:t>
      </w:r>
      <w:r>
        <w:rPr>
          <w:rFonts w:hint="eastAsia" w:ascii="宋体" w:hAnsi="宋体" w:cs="宋体"/>
          <w:color w:val="auto"/>
        </w:rPr>
        <w:t xml:space="preserve">   </w:t>
      </w:r>
      <w:r>
        <w:rPr>
          <w:rFonts w:hint="eastAsia" w:ascii="宋体" w:hAnsi="宋体"/>
          <w:color w:val="auto"/>
        </w:rPr>
        <w:t>地       址：</w:t>
      </w:r>
      <w:r>
        <w:rPr>
          <w:rFonts w:hint="eastAsia" w:ascii="宋体" w:hAnsi="宋体" w:cs="宋体"/>
          <w:color w:val="auto"/>
          <w:u w:val="single"/>
        </w:rPr>
        <w:t>中山市东区长江路33号汉宏盈基商务中心406室</w:t>
      </w:r>
    </w:p>
    <w:p>
      <w:pPr>
        <w:spacing w:line="336" w:lineRule="auto"/>
        <w:rPr>
          <w:rFonts w:ascii="宋体" w:hAnsi="宋体"/>
          <w:color w:val="auto"/>
        </w:rPr>
      </w:pPr>
      <w:r>
        <w:rPr>
          <w:rFonts w:hint="eastAsia" w:ascii="宋体" w:hAnsi="宋体"/>
          <w:color w:val="auto"/>
        </w:rPr>
        <w:t>邮编：</w:t>
      </w:r>
      <w:r>
        <w:rPr>
          <w:rFonts w:hint="eastAsia" w:ascii="宋体" w:hAnsi="宋体"/>
          <w:color w:val="auto"/>
          <w:lang w:val="en-US" w:eastAsia="zh-CN"/>
        </w:rPr>
        <w:t xml:space="preserve"> </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528400</w:t>
      </w:r>
      <w:r>
        <w:rPr>
          <w:rFonts w:hint="eastAsia" w:ascii="宋体" w:hAnsi="宋体"/>
          <w:color w:val="auto"/>
          <w:u w:val="single"/>
          <w:lang w:val="en-US" w:eastAsia="zh-CN"/>
        </w:rPr>
        <w:t xml:space="preserve">            </w:t>
      </w:r>
      <w:r>
        <w:rPr>
          <w:rFonts w:hint="eastAsia" w:ascii="宋体" w:hAnsi="宋体"/>
          <w:color w:val="auto"/>
          <w:u w:val="single"/>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邮        编：</w:t>
      </w:r>
      <w:r>
        <w:rPr>
          <w:rFonts w:hint="eastAsia" w:ascii="宋体" w:hAnsi="宋体"/>
          <w:color w:val="auto"/>
          <w:u w:val="single"/>
        </w:rPr>
        <w:t xml:space="preserve">      528400          </w:t>
      </w:r>
    </w:p>
    <w:p>
      <w:pPr>
        <w:spacing w:line="336" w:lineRule="auto"/>
        <w:rPr>
          <w:rFonts w:ascii="宋体" w:hAnsi="宋体"/>
          <w:color w:val="auto"/>
          <w:u w:val="single"/>
        </w:rPr>
      </w:pPr>
      <w:r>
        <w:rPr>
          <w:rFonts w:hint="eastAsia" w:ascii="宋体" w:hAnsi="宋体"/>
          <w:color w:val="auto"/>
        </w:rPr>
        <w:t>联系人：</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陈</w:t>
      </w:r>
      <w:r>
        <w:rPr>
          <w:rFonts w:hint="eastAsia" w:ascii="宋体" w:hAnsi="宋体"/>
          <w:color w:val="auto"/>
          <w:u w:val="single"/>
          <w:lang w:eastAsia="zh-CN"/>
        </w:rPr>
        <w:t>工</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lang w:val="en-US" w:eastAsia="zh-CN"/>
        </w:rPr>
        <w:t xml:space="preserve">    </w:t>
      </w:r>
      <w:r>
        <w:rPr>
          <w:rFonts w:hint="eastAsia" w:ascii="宋体" w:hAnsi="宋体"/>
          <w:color w:val="auto"/>
        </w:rPr>
        <w:t>联   系   人：</w:t>
      </w:r>
      <w:r>
        <w:rPr>
          <w:rFonts w:hint="eastAsia" w:ascii="宋体" w:hAnsi="宋体"/>
          <w:color w:val="auto"/>
          <w:u w:val="single"/>
        </w:rPr>
        <w:t xml:space="preserve">     刘小姐        </w:t>
      </w:r>
      <w:r>
        <w:rPr>
          <w:rFonts w:hint="eastAsia" w:ascii="宋体" w:hAnsi="宋体"/>
          <w:color w:val="auto"/>
          <w:u w:val="single"/>
          <w:lang w:val="en-US" w:eastAsia="zh-CN"/>
        </w:rPr>
        <w:t xml:space="preserve"> </w:t>
      </w:r>
      <w:r>
        <w:rPr>
          <w:rFonts w:hint="eastAsia" w:ascii="宋体" w:hAnsi="宋体"/>
          <w:color w:val="auto"/>
          <w:u w:val="single"/>
        </w:rPr>
        <w:t xml:space="preserve">  </w:t>
      </w:r>
    </w:p>
    <w:p>
      <w:pPr>
        <w:spacing w:line="336" w:lineRule="auto"/>
        <w:rPr>
          <w:rFonts w:ascii="宋体" w:hAnsi="宋体"/>
          <w:color w:val="auto"/>
        </w:rPr>
      </w:pPr>
      <w:r>
        <w:rPr>
          <w:rFonts w:hint="eastAsia" w:ascii="宋体" w:hAnsi="宋体"/>
          <w:color w:val="auto"/>
        </w:rPr>
        <w:t>电  话：</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15019910276  </w:t>
      </w:r>
      <w:r>
        <w:rPr>
          <w:rFonts w:hint="eastAsia" w:ascii="宋体" w:hAnsi="宋体"/>
          <w:color w:val="auto"/>
          <w:u w:val="single"/>
          <w:lang w:val="en-US" w:eastAsia="zh-CN"/>
        </w:rPr>
        <w:t xml:space="preserve">     </w:t>
      </w:r>
      <w:r>
        <w:rPr>
          <w:rFonts w:hint="eastAsia" w:ascii="宋体" w:hAnsi="宋体"/>
          <w:color w:val="auto"/>
          <w:u w:val="single"/>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电        话：</w:t>
      </w:r>
      <w:r>
        <w:rPr>
          <w:rFonts w:hint="eastAsia" w:ascii="宋体" w:hAnsi="宋体"/>
          <w:color w:val="auto"/>
          <w:u w:val="single"/>
        </w:rPr>
        <w:t xml:space="preserve">   </w:t>
      </w:r>
      <w:r>
        <w:rPr>
          <w:rFonts w:ascii="宋体" w:hAnsi="宋体"/>
          <w:color w:val="auto"/>
          <w:u w:val="single"/>
        </w:rPr>
        <w:t>0760-86937513</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  </w:t>
      </w:r>
    </w:p>
    <w:p>
      <w:pPr>
        <w:spacing w:line="336" w:lineRule="auto"/>
        <w:rPr>
          <w:rFonts w:ascii="宋体" w:hAnsi="宋体"/>
          <w:color w:val="auto"/>
        </w:rPr>
      </w:pPr>
      <w:r>
        <w:rPr>
          <w:rFonts w:hint="eastAsia" w:ascii="宋体" w:hAnsi="宋体"/>
          <w:color w:val="auto"/>
        </w:rPr>
        <w:t>传  真：</w:t>
      </w:r>
      <w:r>
        <w:rPr>
          <w:rFonts w:hint="eastAsia" w:ascii="宋体" w:hAnsi="宋体"/>
          <w:color w:val="auto"/>
          <w:u w:val="single"/>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传        真：</w:t>
      </w:r>
      <w:r>
        <w:rPr>
          <w:rFonts w:hint="eastAsia" w:ascii="宋体" w:hAnsi="宋体"/>
          <w:color w:val="auto"/>
          <w:u w:val="single"/>
        </w:rPr>
        <w:t xml:space="preserve">           </w:t>
      </w:r>
      <w:r>
        <w:rPr>
          <w:rFonts w:hint="eastAsia" w:ascii="宋体" w:hAnsi="宋体"/>
          <w:color w:val="auto"/>
          <w:u w:val="single"/>
          <w:lang w:val="en-US" w:eastAsia="zh-CN"/>
        </w:rPr>
        <w:t>/</w:t>
      </w:r>
      <w:r>
        <w:rPr>
          <w:rFonts w:hint="eastAsia" w:ascii="宋体" w:hAnsi="宋体"/>
          <w:color w:val="auto"/>
          <w:u w:val="single"/>
        </w:rPr>
        <w:t xml:space="preserve">          </w:t>
      </w:r>
    </w:p>
    <w:p>
      <w:pPr>
        <w:spacing w:line="336" w:lineRule="auto"/>
        <w:rPr>
          <w:rFonts w:ascii="宋体" w:hAnsi="宋体"/>
          <w:color w:val="auto"/>
        </w:rPr>
      </w:pPr>
      <w:r>
        <w:rPr>
          <w:rFonts w:hint="eastAsia" w:ascii="宋体" w:hAnsi="宋体"/>
          <w:color w:val="auto"/>
        </w:rPr>
        <w:t>电子邮件：</w:t>
      </w:r>
      <w:r>
        <w:rPr>
          <w:rFonts w:hint="eastAsia" w:ascii="宋体" w:hAnsi="宋体"/>
          <w:color w:val="auto"/>
          <w:u w:val="single"/>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电  子  邮 件：</w:t>
      </w:r>
      <w:r>
        <w:rPr>
          <w:rFonts w:hint="eastAsia" w:ascii="宋体" w:hAnsi="宋体"/>
          <w:color w:val="auto"/>
          <w:u w:val="single"/>
        </w:rPr>
        <w:t xml:space="preserve">  fhxmgl@163.com      </w:t>
      </w:r>
    </w:p>
    <w:p>
      <w:pPr>
        <w:spacing w:line="336" w:lineRule="auto"/>
        <w:jc w:val="right"/>
        <w:rPr>
          <w:rFonts w:ascii="宋体" w:hAnsi="宋体"/>
          <w:color w:val="auto"/>
        </w:rPr>
        <w:sectPr>
          <w:headerReference r:id="rId3" w:type="default"/>
          <w:footerReference r:id="rId4" w:type="default"/>
          <w:pgSz w:w="11906" w:h="16838"/>
          <w:pgMar w:top="1418" w:right="1134" w:bottom="1500" w:left="1134" w:header="851" w:footer="992" w:gutter="0"/>
          <w:cols w:space="720" w:num="1"/>
          <w:docGrid w:type="lines" w:linePitch="312" w:charSpace="0"/>
        </w:sectPr>
      </w:pPr>
      <w:r>
        <w:rPr>
          <w:rFonts w:hint="eastAsia" w:ascii="宋体" w:hAnsi="宋体"/>
          <w:color w:val="auto"/>
          <w:u w:val="single"/>
        </w:rPr>
        <w:t>2021年1</w:t>
      </w:r>
      <w:r>
        <w:rPr>
          <w:rFonts w:hint="eastAsia" w:ascii="宋体" w:hAnsi="宋体"/>
          <w:color w:val="auto"/>
          <w:u w:val="single"/>
          <w:lang w:val="en-US" w:eastAsia="zh-CN"/>
        </w:rPr>
        <w:t>2</w:t>
      </w:r>
      <w:r>
        <w:rPr>
          <w:rFonts w:hint="eastAsia" w:ascii="宋体" w:hAnsi="宋体"/>
          <w:color w:val="auto"/>
          <w:u w:val="single"/>
        </w:rPr>
        <w:t>月</w:t>
      </w:r>
      <w:r>
        <w:rPr>
          <w:rFonts w:hint="eastAsia" w:ascii="宋体" w:hAnsi="宋体"/>
          <w:color w:val="auto"/>
          <w:u w:val="single"/>
          <w:lang w:val="en-US" w:eastAsia="zh-CN"/>
        </w:rPr>
        <w:t>9</w:t>
      </w:r>
      <w:r>
        <w:rPr>
          <w:rFonts w:hint="eastAsia" w:ascii="宋体" w:hAnsi="宋体"/>
          <w:color w:val="auto"/>
          <w:u w:val="single"/>
        </w:rPr>
        <w:t>日</w:t>
      </w:r>
    </w:p>
    <w:p>
      <w:pPr>
        <w:pStyle w:val="3"/>
        <w:rPr>
          <w:rFonts w:ascii="宋体" w:hAnsi="宋体"/>
          <w:color w:val="auto"/>
          <w:szCs w:val="32"/>
        </w:rPr>
      </w:pPr>
      <w:bookmarkStart w:id="13" w:name="_Toc80020745"/>
      <w:bookmarkStart w:id="14" w:name="_Toc45126822"/>
      <w:r>
        <w:rPr>
          <w:rFonts w:hint="eastAsia" w:ascii="宋体" w:hAnsi="宋体"/>
          <w:color w:val="auto"/>
          <w:szCs w:val="32"/>
        </w:rPr>
        <w:t>第二章 投标人须知</w:t>
      </w:r>
      <w:bookmarkEnd w:id="13"/>
      <w:bookmarkEnd w:id="14"/>
      <w:bookmarkStart w:id="15" w:name="_Toc45126823"/>
      <w:bookmarkStart w:id="16" w:name="_Toc184635070"/>
    </w:p>
    <w:p>
      <w:pPr>
        <w:pStyle w:val="3"/>
        <w:rPr>
          <w:rFonts w:ascii="宋体" w:hAnsi="宋体"/>
          <w:color w:val="auto"/>
          <w:szCs w:val="32"/>
        </w:rPr>
      </w:pPr>
      <w:bookmarkStart w:id="17" w:name="_Toc80020746"/>
      <w:bookmarkStart w:id="18" w:name="_Toc76468750"/>
      <w:r>
        <w:rPr>
          <w:rFonts w:hint="eastAsia" w:ascii="宋体" w:hAnsi="宋体"/>
          <w:color w:val="auto"/>
          <w:szCs w:val="24"/>
        </w:rPr>
        <w:t>投标人须知前附表</w:t>
      </w:r>
      <w:bookmarkEnd w:id="15"/>
      <w:bookmarkEnd w:id="16"/>
      <w:bookmarkEnd w:id="17"/>
      <w:bookmarkEnd w:id="18"/>
    </w:p>
    <w:tbl>
      <w:tblPr>
        <w:tblStyle w:val="28"/>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601"/>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77" w:type="dxa"/>
            <w:vAlign w:val="center"/>
          </w:tcPr>
          <w:p>
            <w:pPr>
              <w:jc w:val="center"/>
              <w:rPr>
                <w:rFonts w:ascii="宋体" w:hAnsi="宋体"/>
                <w:b/>
                <w:color w:val="auto"/>
                <w:szCs w:val="21"/>
              </w:rPr>
            </w:pPr>
            <w:r>
              <w:rPr>
                <w:rFonts w:hint="eastAsia" w:ascii="宋体" w:hAnsi="宋体"/>
                <w:b/>
                <w:color w:val="auto"/>
                <w:szCs w:val="21"/>
              </w:rPr>
              <w:t>条款号</w:t>
            </w:r>
          </w:p>
        </w:tc>
        <w:tc>
          <w:tcPr>
            <w:tcW w:w="3601" w:type="dxa"/>
            <w:vAlign w:val="center"/>
          </w:tcPr>
          <w:p>
            <w:pPr>
              <w:jc w:val="center"/>
              <w:rPr>
                <w:rFonts w:ascii="宋体" w:hAnsi="宋体"/>
                <w:b/>
                <w:color w:val="auto"/>
                <w:szCs w:val="21"/>
              </w:rPr>
            </w:pPr>
            <w:r>
              <w:rPr>
                <w:rFonts w:hint="eastAsia" w:ascii="宋体" w:hAnsi="宋体"/>
                <w:b/>
                <w:color w:val="auto"/>
                <w:szCs w:val="21"/>
              </w:rPr>
              <w:t>条 款 名 称</w:t>
            </w:r>
          </w:p>
        </w:tc>
        <w:tc>
          <w:tcPr>
            <w:tcW w:w="4961" w:type="dxa"/>
            <w:vAlign w:val="center"/>
          </w:tcPr>
          <w:p>
            <w:pPr>
              <w:jc w:val="center"/>
              <w:rPr>
                <w:rFonts w:ascii="宋体" w:hAnsi="宋体"/>
                <w:b/>
                <w:color w:val="auto"/>
                <w:szCs w:val="21"/>
              </w:rPr>
            </w:pPr>
            <w:r>
              <w:rPr>
                <w:rFonts w:hint="eastAsia" w:ascii="宋体" w:hAnsi="宋体"/>
                <w:b/>
                <w:color w:val="auto"/>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1077" w:type="dxa"/>
            <w:vAlign w:val="center"/>
          </w:tcPr>
          <w:p>
            <w:pPr>
              <w:jc w:val="center"/>
              <w:rPr>
                <w:rFonts w:ascii="宋体" w:hAnsi="宋体"/>
                <w:color w:val="auto"/>
                <w:szCs w:val="21"/>
              </w:rPr>
            </w:pPr>
            <w:r>
              <w:rPr>
                <w:rFonts w:hint="eastAsia" w:ascii="宋体" w:hAnsi="宋体"/>
                <w:color w:val="auto"/>
                <w:szCs w:val="21"/>
              </w:rPr>
              <w:t>1.1.2</w:t>
            </w:r>
          </w:p>
        </w:tc>
        <w:tc>
          <w:tcPr>
            <w:tcW w:w="3601" w:type="dxa"/>
            <w:vAlign w:val="center"/>
          </w:tcPr>
          <w:p>
            <w:pPr>
              <w:jc w:val="center"/>
              <w:rPr>
                <w:rFonts w:ascii="宋体" w:hAnsi="宋体"/>
                <w:color w:val="auto"/>
              </w:rPr>
            </w:pPr>
            <w:r>
              <w:rPr>
                <w:rFonts w:hint="eastAsia" w:ascii="宋体" w:hAnsi="宋体"/>
                <w:color w:val="auto"/>
              </w:rPr>
              <w:t>招标人（建设单位或代建单位）</w:t>
            </w:r>
          </w:p>
        </w:tc>
        <w:tc>
          <w:tcPr>
            <w:tcW w:w="4961" w:type="dxa"/>
            <w:vAlign w:val="center"/>
          </w:tcPr>
          <w:p>
            <w:pPr>
              <w:rPr>
                <w:rFonts w:hint="eastAsia" w:ascii="宋体" w:hAnsi="宋体" w:eastAsia="宋体"/>
                <w:color w:val="auto"/>
                <w:lang w:eastAsia="zh-CN"/>
              </w:rPr>
            </w:pPr>
            <w:r>
              <w:rPr>
                <w:rFonts w:hint="eastAsia" w:ascii="宋体" w:hAnsi="宋体"/>
                <w:color w:val="auto"/>
              </w:rPr>
              <w:t>名</w:t>
            </w:r>
            <w:r>
              <w:rPr>
                <w:rFonts w:hint="eastAsia" w:ascii="宋体" w:hAnsi="宋体"/>
                <w:color w:val="auto"/>
                <w:lang w:val="en-US" w:eastAsia="zh-CN"/>
              </w:rPr>
              <w:t xml:space="preserve">    </w:t>
            </w:r>
            <w:r>
              <w:rPr>
                <w:rFonts w:hint="eastAsia" w:ascii="宋体" w:hAnsi="宋体"/>
                <w:color w:val="auto"/>
              </w:rPr>
              <w:t>称：</w:t>
            </w:r>
            <w:r>
              <w:rPr>
                <w:rFonts w:hint="eastAsia" w:ascii="宋体" w:hAnsi="宋体"/>
                <w:bCs/>
                <w:color w:val="auto"/>
                <w:lang w:eastAsia="zh-CN"/>
              </w:rPr>
              <w:t>中山市三乡镇西山社区居民委员会</w:t>
            </w:r>
          </w:p>
          <w:p>
            <w:pPr>
              <w:jc w:val="both"/>
              <w:rPr>
                <w:rFonts w:ascii="宋体" w:hAnsi="宋体"/>
                <w:color w:val="auto"/>
              </w:rPr>
            </w:pPr>
            <w:r>
              <w:rPr>
                <w:rFonts w:hint="eastAsia" w:ascii="宋体" w:hAnsi="宋体"/>
                <w:color w:val="auto"/>
              </w:rPr>
              <w:t>地</w:t>
            </w:r>
            <w:r>
              <w:rPr>
                <w:rFonts w:hint="eastAsia" w:ascii="宋体" w:hAnsi="宋体"/>
                <w:color w:val="auto"/>
                <w:lang w:val="en-US" w:eastAsia="zh-CN"/>
              </w:rPr>
              <w:t xml:space="preserve">    </w:t>
            </w:r>
            <w:r>
              <w:rPr>
                <w:rFonts w:hint="eastAsia" w:ascii="宋体" w:hAnsi="宋体"/>
                <w:color w:val="auto"/>
              </w:rPr>
              <w:t>址：</w:t>
            </w:r>
            <w:r>
              <w:rPr>
                <w:rFonts w:hint="eastAsia" w:ascii="宋体" w:hAnsi="宋体" w:cs="宋体"/>
                <w:color w:val="auto"/>
              </w:rPr>
              <w:t>中山市三乡镇西山村西山路50号</w:t>
            </w:r>
            <w:r>
              <w:rPr>
                <w:rFonts w:hint="eastAsia" w:ascii="宋体" w:hAnsi="宋体" w:cs="宋体"/>
                <w:color w:val="auto"/>
                <w:lang w:val="en-US" w:eastAsia="zh-CN"/>
              </w:rPr>
              <w:t xml:space="preserve">  </w:t>
            </w:r>
            <w:r>
              <w:rPr>
                <w:rFonts w:hint="eastAsia" w:ascii="宋体" w:hAnsi="宋体" w:cs="宋体"/>
                <w:color w:val="auto"/>
              </w:rPr>
              <w:t xml:space="preserve"> </w:t>
            </w:r>
          </w:p>
          <w:p>
            <w:pPr>
              <w:rPr>
                <w:rFonts w:ascii="宋体" w:hAnsi="宋体"/>
                <w:color w:val="auto"/>
              </w:rPr>
            </w:pPr>
            <w:r>
              <w:rPr>
                <w:rFonts w:hint="eastAsia" w:ascii="宋体" w:hAnsi="宋体"/>
                <w:color w:val="auto"/>
              </w:rPr>
              <w:t>联</w:t>
            </w:r>
            <w:r>
              <w:rPr>
                <w:rFonts w:hint="eastAsia" w:ascii="宋体" w:hAnsi="宋体"/>
                <w:color w:val="auto"/>
                <w:lang w:val="en-US" w:eastAsia="zh-CN"/>
              </w:rPr>
              <w:t xml:space="preserve"> </w:t>
            </w:r>
            <w:r>
              <w:rPr>
                <w:rFonts w:hint="eastAsia" w:ascii="宋体" w:hAnsi="宋体"/>
                <w:color w:val="auto"/>
              </w:rPr>
              <w:t>系</w:t>
            </w:r>
            <w:r>
              <w:rPr>
                <w:rFonts w:hint="eastAsia" w:ascii="宋体" w:hAnsi="宋体"/>
                <w:color w:val="auto"/>
                <w:lang w:val="en-US" w:eastAsia="zh-CN"/>
              </w:rPr>
              <w:t xml:space="preserve"> </w:t>
            </w:r>
            <w:r>
              <w:rPr>
                <w:rFonts w:hint="eastAsia" w:ascii="宋体" w:hAnsi="宋体"/>
                <w:color w:val="auto"/>
              </w:rPr>
              <w:t>人：陈</w:t>
            </w:r>
            <w:r>
              <w:rPr>
                <w:rFonts w:hint="eastAsia" w:ascii="宋体" w:hAnsi="宋体"/>
                <w:color w:val="auto"/>
                <w:lang w:eastAsia="zh-CN"/>
              </w:rPr>
              <w:t>工</w:t>
            </w:r>
            <w:r>
              <w:rPr>
                <w:rFonts w:hint="eastAsia" w:ascii="宋体" w:hAnsi="宋体"/>
                <w:color w:val="auto"/>
                <w:lang w:val="en-US" w:eastAsia="zh-CN"/>
              </w:rPr>
              <w:t xml:space="preserve">                        </w:t>
            </w:r>
          </w:p>
          <w:p>
            <w:pPr>
              <w:rPr>
                <w:rFonts w:ascii="宋体" w:hAnsi="宋体"/>
                <w:color w:val="auto"/>
              </w:rPr>
            </w:pPr>
            <w:r>
              <w:rPr>
                <w:rFonts w:hint="eastAsia" w:ascii="宋体" w:hAnsi="宋体"/>
                <w:color w:val="auto"/>
              </w:rPr>
              <w:t>电</w:t>
            </w:r>
            <w:r>
              <w:rPr>
                <w:rFonts w:hint="eastAsia" w:ascii="宋体" w:hAnsi="宋体"/>
                <w:color w:val="auto"/>
                <w:lang w:val="en-US" w:eastAsia="zh-CN"/>
              </w:rPr>
              <w:t xml:space="preserve">    </w:t>
            </w:r>
            <w:r>
              <w:rPr>
                <w:rFonts w:hint="eastAsia" w:ascii="宋体" w:hAnsi="宋体"/>
                <w:color w:val="auto"/>
              </w:rPr>
              <w:t>话：15019910276</w:t>
            </w:r>
            <w:r>
              <w:rPr>
                <w:rFonts w:hint="eastAsia" w:ascii="宋体" w:hAnsi="宋体"/>
                <w:color w:val="auto"/>
                <w:lang w:val="en-US" w:eastAsia="zh-CN"/>
              </w:rPr>
              <w:t xml:space="preserve">                  </w:t>
            </w:r>
            <w:r>
              <w:rPr>
                <w:rFonts w:hint="eastAsia" w:ascii="宋体" w:hAnsi="宋体"/>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1077" w:type="dxa"/>
            <w:vAlign w:val="center"/>
          </w:tcPr>
          <w:p>
            <w:pPr>
              <w:jc w:val="center"/>
              <w:rPr>
                <w:rFonts w:ascii="宋体" w:hAnsi="宋体"/>
                <w:color w:val="auto"/>
                <w:szCs w:val="21"/>
              </w:rPr>
            </w:pPr>
            <w:r>
              <w:rPr>
                <w:rFonts w:hint="eastAsia" w:ascii="宋体" w:hAnsi="宋体"/>
                <w:color w:val="auto"/>
                <w:szCs w:val="21"/>
              </w:rPr>
              <w:t>1.1.3</w:t>
            </w:r>
          </w:p>
        </w:tc>
        <w:tc>
          <w:tcPr>
            <w:tcW w:w="3601" w:type="dxa"/>
            <w:vAlign w:val="center"/>
          </w:tcPr>
          <w:p>
            <w:pPr>
              <w:jc w:val="center"/>
              <w:rPr>
                <w:rFonts w:ascii="宋体" w:hAnsi="宋体"/>
                <w:color w:val="auto"/>
              </w:rPr>
            </w:pPr>
            <w:r>
              <w:rPr>
                <w:rFonts w:hint="eastAsia" w:ascii="宋体" w:hAnsi="宋体"/>
                <w:color w:val="auto"/>
              </w:rPr>
              <w:t>招标代理机构</w:t>
            </w:r>
          </w:p>
        </w:tc>
        <w:tc>
          <w:tcPr>
            <w:tcW w:w="4961" w:type="dxa"/>
            <w:vAlign w:val="center"/>
          </w:tcPr>
          <w:p>
            <w:pPr>
              <w:rPr>
                <w:rFonts w:ascii="宋体" w:hAnsi="宋体"/>
                <w:color w:val="auto"/>
              </w:rPr>
            </w:pPr>
            <w:r>
              <w:rPr>
                <w:rFonts w:hint="eastAsia" w:ascii="宋体" w:hAnsi="宋体"/>
                <w:color w:val="auto"/>
              </w:rPr>
              <w:t>名</w:t>
            </w:r>
            <w:r>
              <w:rPr>
                <w:rFonts w:hint="eastAsia" w:ascii="宋体" w:hAnsi="宋体"/>
                <w:color w:val="auto"/>
                <w:lang w:val="en-US" w:eastAsia="zh-CN"/>
              </w:rPr>
              <w:t xml:space="preserve">    </w:t>
            </w:r>
            <w:r>
              <w:rPr>
                <w:rFonts w:hint="eastAsia" w:ascii="宋体" w:hAnsi="宋体"/>
                <w:color w:val="auto"/>
              </w:rPr>
              <w:t>称：方禾（广东）项目管理有限公司</w:t>
            </w:r>
          </w:p>
          <w:p>
            <w:pPr>
              <w:rPr>
                <w:rFonts w:ascii="宋体" w:hAnsi="宋体"/>
                <w:color w:val="auto"/>
              </w:rPr>
            </w:pPr>
            <w:r>
              <w:rPr>
                <w:rFonts w:hint="eastAsia" w:ascii="宋体" w:hAnsi="宋体"/>
                <w:color w:val="auto"/>
              </w:rPr>
              <w:t>地</w:t>
            </w:r>
            <w:r>
              <w:rPr>
                <w:rFonts w:hint="eastAsia" w:ascii="宋体" w:hAnsi="宋体"/>
                <w:color w:val="auto"/>
                <w:lang w:val="en-US" w:eastAsia="zh-CN"/>
              </w:rPr>
              <w:t xml:space="preserve">    </w:t>
            </w:r>
            <w:r>
              <w:rPr>
                <w:rFonts w:hint="eastAsia" w:ascii="宋体" w:hAnsi="宋体"/>
                <w:color w:val="auto"/>
              </w:rPr>
              <w:t>址：中山市东区长江路33号汉宏盈基商务中心406室</w:t>
            </w:r>
          </w:p>
          <w:p>
            <w:pPr>
              <w:rPr>
                <w:rFonts w:ascii="宋体" w:hAnsi="宋体"/>
                <w:color w:val="auto"/>
              </w:rPr>
            </w:pPr>
            <w:r>
              <w:rPr>
                <w:rFonts w:hint="eastAsia" w:ascii="宋体" w:hAnsi="宋体"/>
                <w:color w:val="auto"/>
              </w:rPr>
              <w:t>联</w:t>
            </w:r>
            <w:r>
              <w:rPr>
                <w:rFonts w:hint="eastAsia" w:ascii="宋体" w:hAnsi="宋体"/>
                <w:color w:val="auto"/>
                <w:lang w:val="en-US" w:eastAsia="zh-CN"/>
              </w:rPr>
              <w:t xml:space="preserve"> </w:t>
            </w:r>
            <w:r>
              <w:rPr>
                <w:rFonts w:hint="eastAsia" w:ascii="宋体" w:hAnsi="宋体"/>
                <w:color w:val="auto"/>
              </w:rPr>
              <w:t>系</w:t>
            </w:r>
            <w:r>
              <w:rPr>
                <w:rFonts w:hint="eastAsia" w:ascii="宋体" w:hAnsi="宋体"/>
                <w:color w:val="auto"/>
                <w:lang w:val="en-US" w:eastAsia="zh-CN"/>
              </w:rPr>
              <w:t xml:space="preserve"> </w:t>
            </w:r>
            <w:r>
              <w:rPr>
                <w:rFonts w:hint="eastAsia" w:ascii="宋体" w:hAnsi="宋体"/>
                <w:color w:val="auto"/>
              </w:rPr>
              <w:t>人：</w:t>
            </w:r>
            <w:r>
              <w:rPr>
                <w:rFonts w:hint="eastAsia" w:ascii="宋体" w:hAnsi="宋体" w:cs="宋体"/>
                <w:color w:val="auto"/>
              </w:rPr>
              <w:t>刘小姐</w:t>
            </w:r>
          </w:p>
          <w:p>
            <w:pPr>
              <w:rPr>
                <w:rFonts w:ascii="宋体" w:hAnsi="宋体"/>
                <w:color w:val="auto"/>
              </w:rPr>
            </w:pPr>
            <w:r>
              <w:rPr>
                <w:rFonts w:hint="eastAsia" w:ascii="宋体" w:hAnsi="宋体"/>
                <w:color w:val="auto"/>
              </w:rPr>
              <w:t>电</w:t>
            </w:r>
            <w:r>
              <w:rPr>
                <w:rFonts w:hint="eastAsia" w:ascii="宋体" w:hAnsi="宋体"/>
                <w:color w:val="auto"/>
                <w:lang w:val="en-US" w:eastAsia="zh-CN"/>
              </w:rPr>
              <w:t xml:space="preserve">    </w:t>
            </w:r>
            <w:r>
              <w:rPr>
                <w:rFonts w:hint="eastAsia" w:ascii="宋体" w:hAnsi="宋体"/>
                <w:color w:val="auto"/>
              </w:rPr>
              <w:t>话：</w:t>
            </w:r>
            <w:r>
              <w:rPr>
                <w:rFonts w:ascii="宋体" w:hAnsi="宋体"/>
                <w:color w:val="auto"/>
              </w:rPr>
              <w:t>0760-86937513</w:t>
            </w:r>
          </w:p>
          <w:p>
            <w:pPr>
              <w:rPr>
                <w:rFonts w:ascii="宋体" w:hAnsi="宋体"/>
                <w:color w:val="auto"/>
              </w:rPr>
            </w:pPr>
            <w:r>
              <w:rPr>
                <w:rFonts w:hint="eastAsia" w:ascii="宋体" w:hAnsi="宋体"/>
                <w:color w:val="auto"/>
              </w:rPr>
              <w:t>电子邮件：</w:t>
            </w:r>
            <w:r>
              <w:rPr>
                <w:color w:val="auto"/>
              </w:rPr>
              <w:fldChar w:fldCharType="begin"/>
            </w:r>
            <w:r>
              <w:rPr>
                <w:color w:val="auto"/>
              </w:rPr>
              <w:instrText xml:space="preserve"> HYPERLINK "mailto:gdrxzs@163.com" </w:instrText>
            </w:r>
            <w:r>
              <w:rPr>
                <w:color w:val="auto"/>
              </w:rPr>
              <w:fldChar w:fldCharType="separate"/>
            </w:r>
            <w:r>
              <w:rPr>
                <w:rStyle w:val="32"/>
                <w:rFonts w:ascii="宋体" w:hAnsi="宋体" w:cs="宋体"/>
                <w:color w:val="auto"/>
              </w:rPr>
              <w:t>fhxmgl@163.com</w:t>
            </w:r>
            <w:r>
              <w:rPr>
                <w:rStyle w:val="32"/>
                <w:rFonts w:ascii="宋体" w:hAnsi="宋体" w:cs="宋体"/>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77" w:type="dxa"/>
            <w:vAlign w:val="center"/>
          </w:tcPr>
          <w:p>
            <w:pPr>
              <w:jc w:val="center"/>
              <w:rPr>
                <w:rFonts w:hint="eastAsia" w:ascii="宋体" w:hAnsi="宋体"/>
                <w:color w:val="auto"/>
                <w:szCs w:val="21"/>
              </w:rPr>
            </w:pPr>
            <w:r>
              <w:rPr>
                <w:rFonts w:hint="eastAsia" w:ascii="宋体" w:hAnsi="宋体"/>
                <w:color w:val="auto"/>
                <w:szCs w:val="21"/>
              </w:rPr>
              <w:t>1.1.4</w:t>
            </w:r>
          </w:p>
        </w:tc>
        <w:tc>
          <w:tcPr>
            <w:tcW w:w="3601" w:type="dxa"/>
            <w:vAlign w:val="center"/>
          </w:tcPr>
          <w:p>
            <w:pPr>
              <w:jc w:val="center"/>
              <w:rPr>
                <w:rFonts w:hint="eastAsia" w:ascii="宋体" w:hAnsi="宋体"/>
                <w:color w:val="auto"/>
                <w:szCs w:val="21"/>
              </w:rPr>
            </w:pPr>
            <w:r>
              <w:rPr>
                <w:rFonts w:hint="eastAsia" w:ascii="宋体" w:hAnsi="宋体"/>
                <w:color w:val="auto"/>
                <w:szCs w:val="21"/>
              </w:rPr>
              <w:t>项目名称</w:t>
            </w:r>
          </w:p>
        </w:tc>
        <w:tc>
          <w:tcPr>
            <w:tcW w:w="4961" w:type="dxa"/>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中山市三乡镇西山社区智慧大喇叭招标项目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77" w:type="dxa"/>
            <w:vAlign w:val="center"/>
          </w:tcPr>
          <w:p>
            <w:pPr>
              <w:jc w:val="center"/>
              <w:rPr>
                <w:rFonts w:hint="eastAsia" w:ascii="宋体" w:hAnsi="宋体" w:eastAsia="宋体"/>
                <w:color w:val="auto"/>
                <w:szCs w:val="21"/>
                <w:lang w:val="en-US" w:eastAsia="zh-CN"/>
              </w:rPr>
            </w:pPr>
            <w:r>
              <w:rPr>
                <w:rFonts w:hint="eastAsia" w:ascii="宋体" w:hAnsi="宋体"/>
                <w:color w:val="auto"/>
                <w:szCs w:val="21"/>
                <w:lang w:val="en-US" w:eastAsia="zh-CN"/>
              </w:rPr>
              <w:t>1.1.4.1</w:t>
            </w:r>
          </w:p>
        </w:tc>
        <w:tc>
          <w:tcPr>
            <w:tcW w:w="3601" w:type="dxa"/>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项目编号</w:t>
            </w:r>
          </w:p>
        </w:tc>
        <w:tc>
          <w:tcPr>
            <w:tcW w:w="4961" w:type="dxa"/>
            <w:vAlign w:val="center"/>
          </w:tcPr>
          <w:p>
            <w:pPr>
              <w:jc w:val="center"/>
              <w:rPr>
                <w:rFonts w:ascii="宋体" w:hAnsi="宋体"/>
                <w:color w:val="auto"/>
                <w:szCs w:val="21"/>
              </w:rPr>
            </w:pPr>
            <w:r>
              <w:rPr>
                <w:rFonts w:hint="eastAsia" w:ascii="新宋体" w:hAnsi="新宋体" w:eastAsia="新宋体" w:cs="Times New Roman"/>
                <w:color w:val="auto"/>
                <w:sz w:val="24"/>
                <w:shd w:val="clear" w:color="auto" w:fill="auto"/>
                <w:lang w:eastAsia="zh-CN"/>
              </w:rPr>
              <w:t>FH2021GC1122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77" w:type="dxa"/>
            <w:vAlign w:val="center"/>
          </w:tcPr>
          <w:p>
            <w:pPr>
              <w:jc w:val="center"/>
              <w:rPr>
                <w:rFonts w:ascii="宋体" w:hAnsi="宋体"/>
                <w:color w:val="auto"/>
                <w:szCs w:val="21"/>
              </w:rPr>
            </w:pPr>
            <w:r>
              <w:rPr>
                <w:rFonts w:hint="eastAsia" w:ascii="宋体" w:hAnsi="宋体"/>
                <w:color w:val="auto"/>
                <w:szCs w:val="21"/>
              </w:rPr>
              <w:t>1.1.5</w:t>
            </w:r>
          </w:p>
        </w:tc>
        <w:tc>
          <w:tcPr>
            <w:tcW w:w="3601" w:type="dxa"/>
            <w:vAlign w:val="center"/>
          </w:tcPr>
          <w:p>
            <w:pPr>
              <w:jc w:val="center"/>
              <w:rPr>
                <w:rFonts w:ascii="宋体" w:hAnsi="宋体"/>
                <w:color w:val="auto"/>
                <w:szCs w:val="21"/>
              </w:rPr>
            </w:pPr>
            <w:r>
              <w:rPr>
                <w:rFonts w:hint="eastAsia" w:ascii="宋体" w:hAnsi="宋体"/>
                <w:color w:val="auto"/>
                <w:szCs w:val="21"/>
              </w:rPr>
              <w:t>建设地点</w:t>
            </w:r>
          </w:p>
        </w:tc>
        <w:tc>
          <w:tcPr>
            <w:tcW w:w="4961" w:type="dxa"/>
            <w:vAlign w:val="center"/>
          </w:tcPr>
          <w:p>
            <w:pPr>
              <w:jc w:val="center"/>
              <w:rPr>
                <w:rFonts w:ascii="宋体" w:hAnsi="宋体"/>
                <w:color w:val="auto"/>
                <w:szCs w:val="21"/>
              </w:rPr>
            </w:pPr>
            <w:r>
              <w:rPr>
                <w:rFonts w:hint="eastAsia" w:ascii="宋体" w:hAnsi="宋体"/>
                <w:color w:val="auto"/>
                <w:szCs w:val="21"/>
              </w:rPr>
              <w:t>中山市三乡镇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77" w:type="dxa"/>
            <w:vAlign w:val="center"/>
          </w:tcPr>
          <w:p>
            <w:pPr>
              <w:jc w:val="center"/>
              <w:rPr>
                <w:rFonts w:ascii="宋体" w:hAnsi="宋体"/>
                <w:color w:val="auto"/>
                <w:szCs w:val="21"/>
              </w:rPr>
            </w:pPr>
            <w:r>
              <w:rPr>
                <w:rFonts w:hint="eastAsia" w:ascii="宋体" w:hAnsi="宋体"/>
                <w:color w:val="auto"/>
                <w:szCs w:val="21"/>
              </w:rPr>
              <w:t>1.2.1</w:t>
            </w:r>
          </w:p>
        </w:tc>
        <w:tc>
          <w:tcPr>
            <w:tcW w:w="3601" w:type="dxa"/>
            <w:vAlign w:val="center"/>
          </w:tcPr>
          <w:p>
            <w:pPr>
              <w:jc w:val="center"/>
              <w:rPr>
                <w:rFonts w:ascii="宋体" w:hAnsi="宋体"/>
                <w:color w:val="auto"/>
                <w:szCs w:val="21"/>
              </w:rPr>
            </w:pPr>
            <w:r>
              <w:rPr>
                <w:rFonts w:hint="eastAsia" w:ascii="宋体" w:hAnsi="宋体"/>
                <w:color w:val="auto"/>
                <w:szCs w:val="21"/>
              </w:rPr>
              <w:t>资金来源</w:t>
            </w:r>
          </w:p>
        </w:tc>
        <w:tc>
          <w:tcPr>
            <w:tcW w:w="4961" w:type="dxa"/>
            <w:vAlign w:val="center"/>
          </w:tcPr>
          <w:p>
            <w:pPr>
              <w:jc w:val="center"/>
              <w:rPr>
                <w:rFonts w:ascii="宋体" w:hAnsi="宋体"/>
                <w:color w:val="auto"/>
                <w:szCs w:val="21"/>
              </w:rPr>
            </w:pPr>
            <w:r>
              <w:rPr>
                <w:rFonts w:hint="eastAsia" w:ascii="宋体" w:hAnsi="宋体"/>
                <w:color w:val="auto"/>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77" w:type="dxa"/>
            <w:vAlign w:val="center"/>
          </w:tcPr>
          <w:p>
            <w:pPr>
              <w:jc w:val="center"/>
              <w:rPr>
                <w:rFonts w:ascii="宋体" w:hAnsi="宋体"/>
                <w:color w:val="auto"/>
                <w:szCs w:val="21"/>
              </w:rPr>
            </w:pPr>
            <w:r>
              <w:rPr>
                <w:rFonts w:hint="eastAsia" w:ascii="宋体" w:hAnsi="宋体"/>
                <w:color w:val="auto"/>
                <w:szCs w:val="21"/>
              </w:rPr>
              <w:t>1.2.2</w:t>
            </w:r>
          </w:p>
        </w:tc>
        <w:tc>
          <w:tcPr>
            <w:tcW w:w="3601" w:type="dxa"/>
            <w:vAlign w:val="center"/>
          </w:tcPr>
          <w:p>
            <w:pPr>
              <w:jc w:val="center"/>
              <w:rPr>
                <w:rFonts w:ascii="宋体" w:hAnsi="宋体"/>
                <w:color w:val="auto"/>
                <w:szCs w:val="21"/>
              </w:rPr>
            </w:pPr>
            <w:r>
              <w:rPr>
                <w:rFonts w:hint="eastAsia" w:ascii="宋体" w:hAnsi="宋体"/>
                <w:color w:val="auto"/>
                <w:szCs w:val="21"/>
              </w:rPr>
              <w:t>出资比例</w:t>
            </w:r>
          </w:p>
        </w:tc>
        <w:tc>
          <w:tcPr>
            <w:tcW w:w="4961" w:type="dxa"/>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77" w:type="dxa"/>
            <w:vAlign w:val="center"/>
          </w:tcPr>
          <w:p>
            <w:pPr>
              <w:jc w:val="center"/>
              <w:rPr>
                <w:rFonts w:ascii="宋体" w:hAnsi="宋体"/>
                <w:color w:val="auto"/>
                <w:szCs w:val="21"/>
              </w:rPr>
            </w:pPr>
            <w:r>
              <w:rPr>
                <w:rFonts w:hint="eastAsia" w:ascii="宋体" w:hAnsi="宋体"/>
                <w:color w:val="auto"/>
                <w:szCs w:val="21"/>
              </w:rPr>
              <w:t>1.2.3</w:t>
            </w:r>
          </w:p>
        </w:tc>
        <w:tc>
          <w:tcPr>
            <w:tcW w:w="3601" w:type="dxa"/>
            <w:vAlign w:val="center"/>
          </w:tcPr>
          <w:p>
            <w:pPr>
              <w:jc w:val="center"/>
              <w:rPr>
                <w:rFonts w:ascii="宋体" w:hAnsi="宋体"/>
                <w:color w:val="auto"/>
                <w:szCs w:val="21"/>
              </w:rPr>
            </w:pPr>
            <w:r>
              <w:rPr>
                <w:rFonts w:hint="eastAsia" w:ascii="宋体" w:hAnsi="宋体"/>
                <w:color w:val="auto"/>
                <w:szCs w:val="21"/>
              </w:rPr>
              <w:t>资金落实情况</w:t>
            </w:r>
          </w:p>
        </w:tc>
        <w:tc>
          <w:tcPr>
            <w:tcW w:w="4961" w:type="dxa"/>
            <w:vAlign w:val="center"/>
          </w:tcPr>
          <w:p>
            <w:pPr>
              <w:jc w:val="center"/>
              <w:rPr>
                <w:rFonts w:ascii="宋体" w:hAnsi="宋体"/>
                <w:color w:val="auto"/>
                <w:szCs w:val="21"/>
              </w:rPr>
            </w:pPr>
            <w:r>
              <w:rPr>
                <w:rFonts w:hint="eastAsia" w:ascii="宋体" w:hAnsi="宋体"/>
                <w:color w:val="auto"/>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77" w:type="dxa"/>
            <w:vAlign w:val="center"/>
          </w:tcPr>
          <w:p>
            <w:pPr>
              <w:jc w:val="center"/>
              <w:rPr>
                <w:rFonts w:ascii="宋体" w:hAnsi="宋体"/>
                <w:color w:val="auto"/>
                <w:szCs w:val="21"/>
              </w:rPr>
            </w:pPr>
            <w:r>
              <w:rPr>
                <w:rFonts w:hint="eastAsia" w:ascii="宋体" w:hAnsi="宋体"/>
                <w:color w:val="auto"/>
                <w:szCs w:val="21"/>
              </w:rPr>
              <w:t>1.3.1</w:t>
            </w:r>
          </w:p>
        </w:tc>
        <w:tc>
          <w:tcPr>
            <w:tcW w:w="3601" w:type="dxa"/>
            <w:vAlign w:val="center"/>
          </w:tcPr>
          <w:p>
            <w:pPr>
              <w:jc w:val="center"/>
              <w:rPr>
                <w:rFonts w:ascii="宋体" w:hAnsi="宋体"/>
                <w:color w:val="auto"/>
                <w:szCs w:val="21"/>
              </w:rPr>
            </w:pPr>
            <w:r>
              <w:rPr>
                <w:rFonts w:hint="eastAsia" w:ascii="宋体" w:hAnsi="宋体"/>
                <w:color w:val="auto"/>
                <w:szCs w:val="21"/>
              </w:rPr>
              <w:t>招标范围</w:t>
            </w:r>
          </w:p>
        </w:tc>
        <w:tc>
          <w:tcPr>
            <w:tcW w:w="4961" w:type="dxa"/>
            <w:vAlign w:val="center"/>
          </w:tcPr>
          <w:p>
            <w:pPr>
              <w:rPr>
                <w:rFonts w:ascii="宋体" w:hAnsi="宋体"/>
                <w:color w:val="auto"/>
                <w:szCs w:val="21"/>
              </w:rPr>
            </w:pPr>
            <w:r>
              <w:rPr>
                <w:rFonts w:hint="eastAsia" w:ascii="宋体" w:hAnsi="宋体"/>
                <w:color w:val="auto"/>
              </w:rPr>
              <w:t>本次招标主要建设内容包括</w:t>
            </w:r>
            <w:r>
              <w:rPr>
                <w:rFonts w:hint="eastAsia" w:ascii="宋体" w:hAnsi="宋体"/>
                <w:color w:val="auto"/>
                <w:lang w:eastAsia="zh-CN"/>
              </w:rPr>
              <w:t>智慧大喇叭安装</w:t>
            </w:r>
            <w:r>
              <w:rPr>
                <w:rFonts w:hint="eastAsia" w:ascii="宋体" w:hAnsi="宋体"/>
                <w:color w:val="auto"/>
              </w:rPr>
              <w:t>，具体以建设单位提供的施工图纸和工程量清单及有关资料的内容为准，所有调整和变更项目施工单位不得拒绝承担。</w:t>
            </w:r>
            <w:r>
              <w:rPr>
                <w:rFonts w:ascii="宋体" w:hAnsi="宋体"/>
                <w:color w:val="auto"/>
              </w:rPr>
              <w:t>投标单位应自行复算。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77" w:type="dxa"/>
            <w:vAlign w:val="center"/>
          </w:tcPr>
          <w:p>
            <w:pPr>
              <w:jc w:val="center"/>
              <w:rPr>
                <w:rFonts w:ascii="宋体" w:hAnsi="宋体"/>
                <w:color w:val="auto"/>
                <w:szCs w:val="21"/>
              </w:rPr>
            </w:pPr>
            <w:r>
              <w:rPr>
                <w:rFonts w:hint="eastAsia" w:ascii="宋体" w:hAnsi="宋体"/>
                <w:color w:val="auto"/>
                <w:szCs w:val="21"/>
              </w:rPr>
              <w:t>1.3.2</w:t>
            </w:r>
          </w:p>
        </w:tc>
        <w:tc>
          <w:tcPr>
            <w:tcW w:w="3601" w:type="dxa"/>
            <w:vAlign w:val="center"/>
          </w:tcPr>
          <w:p>
            <w:pPr>
              <w:jc w:val="center"/>
              <w:rPr>
                <w:rFonts w:ascii="宋体" w:hAnsi="宋体"/>
                <w:color w:val="auto"/>
                <w:szCs w:val="21"/>
              </w:rPr>
            </w:pPr>
            <w:r>
              <w:rPr>
                <w:rFonts w:hint="eastAsia" w:ascii="宋体" w:hAnsi="宋体"/>
                <w:color w:val="auto"/>
                <w:szCs w:val="21"/>
              </w:rPr>
              <w:t>计划工期</w:t>
            </w:r>
          </w:p>
        </w:tc>
        <w:tc>
          <w:tcPr>
            <w:tcW w:w="4961" w:type="dxa"/>
            <w:vAlign w:val="center"/>
          </w:tcPr>
          <w:p>
            <w:pPr>
              <w:rPr>
                <w:rFonts w:ascii="宋体" w:hAnsi="宋体"/>
                <w:color w:val="auto"/>
              </w:rPr>
            </w:pPr>
            <w:r>
              <w:rPr>
                <w:rFonts w:hint="eastAsia" w:ascii="宋体" w:hAnsi="宋体"/>
                <w:color w:val="auto"/>
                <w:szCs w:val="21"/>
              </w:rPr>
              <w:t>计划工期：</w:t>
            </w:r>
            <w:r>
              <w:rPr>
                <w:rFonts w:hint="eastAsia" w:ascii="宋体" w:hAnsi="宋体"/>
                <w:color w:val="auto"/>
                <w:szCs w:val="21"/>
                <w:u w:val="single"/>
              </w:rPr>
              <w:t>35个日历天</w:t>
            </w:r>
            <w:r>
              <w:rPr>
                <w:rFonts w:hint="eastAsia" w:ascii="宋体" w:hAnsi="宋体"/>
                <w:color w:val="auto"/>
                <w:szCs w:val="21"/>
              </w:rPr>
              <w:t>。</w:t>
            </w:r>
          </w:p>
          <w:p>
            <w:pPr>
              <w:rPr>
                <w:rFonts w:ascii="宋体" w:hAnsi="宋体"/>
                <w:color w:val="auto"/>
                <w:szCs w:val="21"/>
                <w:u w:val="single"/>
              </w:rPr>
            </w:pPr>
            <w:r>
              <w:rPr>
                <w:rFonts w:hint="eastAsia" w:ascii="宋体" w:hAnsi="宋体"/>
                <w:color w:val="auto"/>
                <w:szCs w:val="21"/>
              </w:rPr>
              <w:t>计划开工及计划竣工日期为暂定日期，投标人可根据计划工期按实际情况编排进度计划，最终以合同签订时间和开工令/报告为准。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77" w:type="dxa"/>
            <w:vAlign w:val="center"/>
          </w:tcPr>
          <w:p>
            <w:pPr>
              <w:jc w:val="center"/>
              <w:rPr>
                <w:rFonts w:ascii="宋体" w:hAnsi="宋体"/>
                <w:color w:val="auto"/>
                <w:szCs w:val="21"/>
              </w:rPr>
            </w:pPr>
            <w:r>
              <w:rPr>
                <w:rFonts w:hint="eastAsia" w:ascii="宋体" w:hAnsi="宋体"/>
                <w:color w:val="auto"/>
                <w:szCs w:val="21"/>
              </w:rPr>
              <w:t>1.3.3</w:t>
            </w:r>
          </w:p>
        </w:tc>
        <w:tc>
          <w:tcPr>
            <w:tcW w:w="3601" w:type="dxa"/>
            <w:vAlign w:val="center"/>
          </w:tcPr>
          <w:p>
            <w:pPr>
              <w:jc w:val="center"/>
              <w:rPr>
                <w:rFonts w:ascii="宋体" w:hAnsi="宋体"/>
                <w:color w:val="auto"/>
                <w:szCs w:val="21"/>
              </w:rPr>
            </w:pPr>
            <w:r>
              <w:rPr>
                <w:rFonts w:hint="eastAsia" w:ascii="宋体" w:hAnsi="宋体"/>
                <w:color w:val="auto"/>
                <w:szCs w:val="21"/>
              </w:rPr>
              <w:t>质量要求</w:t>
            </w:r>
          </w:p>
        </w:tc>
        <w:tc>
          <w:tcPr>
            <w:tcW w:w="4961" w:type="dxa"/>
            <w:vAlign w:val="center"/>
          </w:tcPr>
          <w:p>
            <w:pPr>
              <w:jc w:val="center"/>
              <w:rPr>
                <w:rFonts w:ascii="宋体" w:hAnsi="宋体"/>
                <w:color w:val="auto"/>
                <w:szCs w:val="21"/>
              </w:rPr>
            </w:pPr>
            <w:r>
              <w:rPr>
                <w:rFonts w:hint="eastAsia" w:ascii="宋体" w:hAnsi="宋体"/>
                <w:color w:val="auto"/>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77" w:type="dxa"/>
            <w:vAlign w:val="center"/>
          </w:tcPr>
          <w:p>
            <w:pPr>
              <w:jc w:val="center"/>
              <w:rPr>
                <w:rFonts w:ascii="宋体" w:hAnsi="宋体"/>
                <w:color w:val="auto"/>
                <w:szCs w:val="21"/>
              </w:rPr>
            </w:pPr>
            <w:r>
              <w:rPr>
                <w:rFonts w:hint="eastAsia" w:ascii="宋体" w:hAnsi="宋体"/>
                <w:color w:val="auto"/>
                <w:szCs w:val="21"/>
              </w:rPr>
              <w:t>1.3.4</w:t>
            </w:r>
          </w:p>
        </w:tc>
        <w:tc>
          <w:tcPr>
            <w:tcW w:w="3601" w:type="dxa"/>
            <w:vAlign w:val="center"/>
          </w:tcPr>
          <w:p>
            <w:pPr>
              <w:jc w:val="center"/>
              <w:rPr>
                <w:rFonts w:ascii="宋体" w:hAnsi="宋体"/>
                <w:color w:val="auto"/>
                <w:szCs w:val="21"/>
              </w:rPr>
            </w:pPr>
            <w:r>
              <w:rPr>
                <w:rFonts w:hint="eastAsia" w:ascii="宋体" w:hAnsi="宋体"/>
                <w:color w:val="auto"/>
                <w:szCs w:val="21"/>
              </w:rPr>
              <w:t>安全文明施工</w:t>
            </w:r>
          </w:p>
        </w:tc>
        <w:tc>
          <w:tcPr>
            <w:tcW w:w="4961" w:type="dxa"/>
            <w:vAlign w:val="center"/>
          </w:tcPr>
          <w:p>
            <w:pPr>
              <w:jc w:val="center"/>
              <w:rPr>
                <w:rFonts w:ascii="宋体" w:hAnsi="宋体"/>
                <w:color w:val="auto"/>
                <w:szCs w:val="21"/>
              </w:rPr>
            </w:pPr>
            <w:r>
              <w:rPr>
                <w:rFonts w:hint="eastAsia" w:ascii="宋体" w:hAnsi="宋体"/>
                <w:color w:val="auto"/>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77" w:type="dxa"/>
            <w:vAlign w:val="center"/>
          </w:tcPr>
          <w:p>
            <w:pPr>
              <w:jc w:val="center"/>
              <w:rPr>
                <w:rFonts w:ascii="宋体" w:hAnsi="宋体"/>
                <w:color w:val="auto"/>
                <w:szCs w:val="21"/>
              </w:rPr>
            </w:pPr>
            <w:r>
              <w:rPr>
                <w:rFonts w:hint="eastAsia" w:ascii="宋体" w:hAnsi="宋体"/>
                <w:color w:val="auto"/>
                <w:szCs w:val="21"/>
              </w:rPr>
              <w:t>1.4.1</w:t>
            </w:r>
          </w:p>
        </w:tc>
        <w:tc>
          <w:tcPr>
            <w:tcW w:w="3601" w:type="dxa"/>
            <w:vAlign w:val="center"/>
          </w:tcPr>
          <w:p>
            <w:pPr>
              <w:jc w:val="center"/>
              <w:rPr>
                <w:rFonts w:ascii="宋体" w:hAnsi="宋体"/>
                <w:color w:val="auto"/>
                <w:szCs w:val="21"/>
              </w:rPr>
            </w:pPr>
            <w:r>
              <w:rPr>
                <w:rFonts w:hint="eastAsia" w:ascii="宋体" w:hAnsi="宋体"/>
                <w:color w:val="auto"/>
                <w:szCs w:val="21"/>
              </w:rPr>
              <w:t>投标人资质条件、能力和信誉</w:t>
            </w:r>
          </w:p>
        </w:tc>
        <w:tc>
          <w:tcPr>
            <w:tcW w:w="4961" w:type="dxa"/>
            <w:vAlign w:val="center"/>
          </w:tcPr>
          <w:p>
            <w:pPr>
              <w:rPr>
                <w:rFonts w:ascii="宋体" w:hAnsi="宋体"/>
                <w:color w:val="auto"/>
                <w:szCs w:val="21"/>
              </w:rPr>
            </w:pPr>
            <w:r>
              <w:rPr>
                <w:rFonts w:hint="eastAsia" w:ascii="宋体" w:hAnsi="宋体"/>
                <w:b/>
                <w:color w:val="auto"/>
                <w:szCs w:val="21"/>
              </w:rPr>
              <w:t>见第一章邀请招标公告3.投标人资格要求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77" w:type="dxa"/>
            <w:vAlign w:val="center"/>
          </w:tcPr>
          <w:p>
            <w:pPr>
              <w:jc w:val="center"/>
              <w:rPr>
                <w:rFonts w:ascii="宋体" w:hAnsi="宋体"/>
                <w:color w:val="auto"/>
                <w:szCs w:val="21"/>
              </w:rPr>
            </w:pPr>
            <w:r>
              <w:rPr>
                <w:rFonts w:hint="eastAsia" w:ascii="宋体" w:hAnsi="宋体"/>
                <w:color w:val="auto"/>
                <w:szCs w:val="21"/>
              </w:rPr>
              <w:t>1.4.2</w:t>
            </w:r>
          </w:p>
        </w:tc>
        <w:tc>
          <w:tcPr>
            <w:tcW w:w="3601" w:type="dxa"/>
            <w:vAlign w:val="center"/>
          </w:tcPr>
          <w:p>
            <w:pPr>
              <w:jc w:val="center"/>
              <w:rPr>
                <w:rFonts w:ascii="宋体" w:hAnsi="宋体"/>
                <w:color w:val="auto"/>
                <w:szCs w:val="21"/>
              </w:rPr>
            </w:pPr>
            <w:r>
              <w:rPr>
                <w:rFonts w:hint="eastAsia" w:ascii="宋体" w:hAnsi="宋体"/>
                <w:color w:val="auto"/>
                <w:szCs w:val="21"/>
              </w:rPr>
              <w:t>是否接受联合体投标</w:t>
            </w:r>
          </w:p>
        </w:tc>
        <w:tc>
          <w:tcPr>
            <w:tcW w:w="4961" w:type="dxa"/>
            <w:vAlign w:val="center"/>
          </w:tcPr>
          <w:p>
            <w:pPr>
              <w:rPr>
                <w:rFonts w:ascii="宋体" w:hAnsi="宋体"/>
                <w:color w:val="auto"/>
                <w:szCs w:val="21"/>
              </w:rPr>
            </w:pPr>
            <w:r>
              <w:rPr>
                <w:rFonts w:hint="eastAsia" w:ascii="宋体" w:hAnsi="宋体"/>
                <w:color w:val="auto"/>
                <w:szCs w:val="21"/>
              </w:rPr>
              <w:t>■不接受</w:t>
            </w:r>
          </w:p>
          <w:p>
            <w:pPr>
              <w:widowControl w:val="0"/>
              <w:numPr>
                <w:ilvl w:val="0"/>
                <w:numId w:val="2"/>
              </w:numPr>
              <w:tabs>
                <w:tab w:val="left" w:pos="317"/>
                <w:tab w:val="clear" w:pos="360"/>
              </w:tabs>
              <w:ind w:left="0" w:firstLine="0"/>
              <w:jc w:val="both"/>
              <w:rPr>
                <w:rFonts w:ascii="宋体" w:hAnsi="宋体"/>
                <w:color w:val="auto"/>
                <w:szCs w:val="21"/>
              </w:rPr>
            </w:pPr>
            <w:r>
              <w:rPr>
                <w:rFonts w:hint="eastAsia" w:ascii="宋体" w:hAnsi="宋体"/>
                <w:color w:val="auto"/>
                <w:szCs w:val="21"/>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77" w:type="dxa"/>
            <w:vAlign w:val="center"/>
          </w:tcPr>
          <w:p>
            <w:pPr>
              <w:jc w:val="center"/>
              <w:rPr>
                <w:rFonts w:ascii="宋体" w:hAnsi="宋体"/>
                <w:color w:val="auto"/>
                <w:szCs w:val="21"/>
              </w:rPr>
            </w:pPr>
            <w:r>
              <w:rPr>
                <w:rFonts w:hint="eastAsia" w:ascii="宋体" w:hAnsi="宋体"/>
                <w:color w:val="auto"/>
                <w:szCs w:val="21"/>
              </w:rPr>
              <w:t>1.9.1</w:t>
            </w:r>
          </w:p>
        </w:tc>
        <w:tc>
          <w:tcPr>
            <w:tcW w:w="3601" w:type="dxa"/>
            <w:vAlign w:val="center"/>
          </w:tcPr>
          <w:p>
            <w:pPr>
              <w:jc w:val="center"/>
              <w:rPr>
                <w:rFonts w:ascii="宋体" w:hAnsi="宋体"/>
                <w:color w:val="auto"/>
                <w:szCs w:val="21"/>
              </w:rPr>
            </w:pPr>
            <w:r>
              <w:rPr>
                <w:rFonts w:hint="eastAsia" w:ascii="宋体" w:hAnsi="宋体"/>
                <w:color w:val="auto"/>
                <w:szCs w:val="21"/>
              </w:rPr>
              <w:t>踏勘现场</w:t>
            </w:r>
          </w:p>
        </w:tc>
        <w:tc>
          <w:tcPr>
            <w:tcW w:w="4961" w:type="dxa"/>
            <w:vAlign w:val="center"/>
          </w:tcPr>
          <w:p>
            <w:pPr>
              <w:rPr>
                <w:rFonts w:ascii="宋体" w:hAnsi="宋体"/>
                <w:color w:val="auto"/>
                <w:szCs w:val="21"/>
              </w:rPr>
            </w:pPr>
            <w:r>
              <w:rPr>
                <w:rFonts w:hint="eastAsia" w:ascii="宋体" w:hAnsi="宋体"/>
                <w:color w:val="auto"/>
                <w:szCs w:val="21"/>
              </w:rPr>
              <w:t>一般情况下不集中踏勘现场。</w:t>
            </w:r>
          </w:p>
          <w:p>
            <w:pPr>
              <w:rPr>
                <w:rFonts w:ascii="宋体" w:hAnsi="宋体"/>
                <w:color w:val="auto"/>
                <w:szCs w:val="21"/>
              </w:rPr>
            </w:pPr>
            <w:r>
              <w:rPr>
                <w:rFonts w:hint="eastAsia" w:ascii="宋体" w:hAnsi="宋体"/>
                <w:color w:val="auto"/>
                <w:szCs w:val="21"/>
              </w:rPr>
              <w:t>■不组织踏勘现场</w:t>
            </w:r>
          </w:p>
          <w:p>
            <w:pPr>
              <w:widowControl w:val="0"/>
              <w:numPr>
                <w:ilvl w:val="0"/>
                <w:numId w:val="2"/>
              </w:numPr>
              <w:tabs>
                <w:tab w:val="left" w:pos="317"/>
              </w:tabs>
              <w:ind w:left="0" w:firstLine="0"/>
              <w:jc w:val="both"/>
              <w:rPr>
                <w:rFonts w:ascii="宋体" w:hAnsi="宋体"/>
                <w:color w:val="auto"/>
                <w:szCs w:val="21"/>
              </w:rPr>
            </w:pPr>
            <w:r>
              <w:rPr>
                <w:rFonts w:hint="eastAsia" w:ascii="宋体" w:hAnsi="宋体"/>
                <w:color w:val="auto"/>
                <w:szCs w:val="21"/>
              </w:rPr>
              <w:t>组织踏勘现场,</w:t>
            </w:r>
          </w:p>
          <w:p>
            <w:pPr>
              <w:widowControl w:val="0"/>
              <w:numPr>
                <w:ilvl w:val="0"/>
                <w:numId w:val="2"/>
              </w:numPr>
              <w:tabs>
                <w:tab w:val="left" w:pos="317"/>
              </w:tabs>
              <w:ind w:left="0" w:firstLine="0"/>
              <w:jc w:val="both"/>
              <w:rPr>
                <w:rFonts w:ascii="宋体" w:hAnsi="宋体"/>
                <w:color w:val="auto"/>
                <w:szCs w:val="21"/>
              </w:rPr>
            </w:pPr>
            <w:r>
              <w:rPr>
                <w:rFonts w:hint="eastAsia" w:ascii="宋体" w:hAnsi="宋体"/>
                <w:color w:val="auto"/>
                <w:szCs w:val="21"/>
              </w:rPr>
              <w:t>踏勘时间：</w:t>
            </w:r>
            <w:r>
              <w:rPr>
                <w:rFonts w:ascii="宋体" w:hAnsi="宋体"/>
                <w:color w:val="auto"/>
                <w:szCs w:val="21"/>
                <w:u w:val="single"/>
              </w:rPr>
              <w:t>/</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rPr>
              <w:t>日</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hint="eastAsia" w:ascii="宋体" w:hAnsi="宋体"/>
                <w:color w:val="auto"/>
                <w:szCs w:val="21"/>
              </w:rPr>
              <w:t>时</w:t>
            </w:r>
            <w:r>
              <w:rPr>
                <w:rFonts w:hint="eastAsia" w:ascii="宋体" w:hAnsi="宋体"/>
                <w:color w:val="auto"/>
                <w:szCs w:val="21"/>
                <w:u w:val="single"/>
              </w:rPr>
              <w:t xml:space="preserve">  </w:t>
            </w:r>
            <w:r>
              <w:rPr>
                <w:rFonts w:ascii="宋体" w:hAnsi="宋体"/>
                <w:color w:val="auto"/>
                <w:szCs w:val="21"/>
                <w:u w:val="single"/>
              </w:rPr>
              <w:t>/</w:t>
            </w:r>
            <w:r>
              <w:rPr>
                <w:rFonts w:hint="eastAsia" w:ascii="宋体" w:hAnsi="宋体"/>
                <w:color w:val="auto"/>
                <w:szCs w:val="21"/>
                <w:u w:val="single"/>
              </w:rPr>
              <w:t xml:space="preserve"> </w:t>
            </w:r>
            <w:r>
              <w:rPr>
                <w:rFonts w:hint="eastAsia" w:ascii="宋体" w:hAnsi="宋体"/>
                <w:color w:val="auto"/>
                <w:szCs w:val="21"/>
              </w:rPr>
              <w:t>分</w:t>
            </w:r>
          </w:p>
          <w:p>
            <w:pPr>
              <w:tabs>
                <w:tab w:val="left" w:pos="317"/>
              </w:tabs>
              <w:rPr>
                <w:rFonts w:ascii="宋体" w:hAnsi="宋体"/>
                <w:color w:val="auto"/>
                <w:szCs w:val="21"/>
              </w:rPr>
            </w:pPr>
            <w:r>
              <w:rPr>
                <w:rFonts w:hint="eastAsia" w:ascii="宋体" w:hAnsi="宋体"/>
                <w:color w:val="auto"/>
                <w:szCs w:val="21"/>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077" w:type="dxa"/>
            <w:vAlign w:val="center"/>
          </w:tcPr>
          <w:p>
            <w:pPr>
              <w:jc w:val="center"/>
              <w:rPr>
                <w:rFonts w:ascii="宋体" w:hAnsi="宋体"/>
                <w:color w:val="auto"/>
                <w:szCs w:val="21"/>
              </w:rPr>
            </w:pPr>
            <w:r>
              <w:rPr>
                <w:rFonts w:hint="eastAsia" w:ascii="宋体" w:hAnsi="宋体"/>
                <w:color w:val="auto"/>
                <w:szCs w:val="21"/>
              </w:rPr>
              <w:t>1.10</w:t>
            </w:r>
          </w:p>
        </w:tc>
        <w:tc>
          <w:tcPr>
            <w:tcW w:w="3601" w:type="dxa"/>
            <w:vAlign w:val="center"/>
          </w:tcPr>
          <w:p>
            <w:pPr>
              <w:jc w:val="center"/>
              <w:rPr>
                <w:rFonts w:ascii="宋体" w:hAnsi="宋体"/>
                <w:color w:val="auto"/>
                <w:szCs w:val="21"/>
              </w:rPr>
            </w:pPr>
            <w:r>
              <w:rPr>
                <w:rFonts w:hint="eastAsia" w:ascii="宋体" w:hAnsi="宋体"/>
                <w:color w:val="auto"/>
                <w:szCs w:val="21"/>
              </w:rPr>
              <w:t>招标答疑</w:t>
            </w:r>
          </w:p>
        </w:tc>
        <w:tc>
          <w:tcPr>
            <w:tcW w:w="4961" w:type="dxa"/>
            <w:vAlign w:val="center"/>
          </w:tcPr>
          <w:p>
            <w:pPr>
              <w:rPr>
                <w:rFonts w:ascii="宋体" w:hAnsi="宋体" w:cs="宋体"/>
                <w:color w:val="auto"/>
              </w:rPr>
            </w:pPr>
            <w:r>
              <w:rPr>
                <w:rFonts w:hint="eastAsia" w:ascii="宋体" w:hAnsi="宋体" w:cs="宋体"/>
                <w:color w:val="auto"/>
              </w:rPr>
              <w:t>各投标单位将有关问题以书面或者通过邮件发送扫描件的形式提供</w:t>
            </w:r>
            <w:r>
              <w:rPr>
                <w:rFonts w:hint="eastAsia" w:ascii="宋体" w:hAnsi="宋体" w:cs="宋体"/>
                <w:color w:val="auto"/>
                <w:lang w:eastAsia="zh-CN"/>
              </w:rPr>
              <w:t>至</w:t>
            </w:r>
            <w:r>
              <w:rPr>
                <w:rFonts w:hint="eastAsia" w:ascii="宋体" w:hAnsi="宋体" w:cs="宋体"/>
                <w:color w:val="auto"/>
              </w:rPr>
              <w:t>招标代理机构；答疑文件将以书面形式发给所有投标人单位，但不指明答疑问题的来源。（ 联系人：刘小姐 ，</w:t>
            </w:r>
            <w:r>
              <w:rPr>
                <w:rFonts w:hint="eastAsia" w:ascii="宋体" w:hAnsi="宋体" w:cs="宋体"/>
                <w:color w:val="auto"/>
              </w:rPr>
              <w:br w:type="textWrapping"/>
            </w:r>
            <w:r>
              <w:rPr>
                <w:rFonts w:hint="eastAsia" w:ascii="宋体" w:hAnsi="宋体" w:cs="宋体"/>
                <w:color w:val="auto"/>
              </w:rPr>
              <w:t>联系电话：</w:t>
            </w:r>
            <w:r>
              <w:rPr>
                <w:rFonts w:ascii="宋体" w:hAnsi="宋体" w:cs="宋体"/>
                <w:color w:val="auto"/>
                <w:u w:val="single"/>
              </w:rPr>
              <w:t>0760-86937513</w:t>
            </w:r>
            <w:r>
              <w:rPr>
                <w:rFonts w:hint="eastAsia" w:ascii="宋体" w:hAnsi="宋体" w:cs="宋体"/>
                <w:color w:val="auto"/>
              </w:rPr>
              <w:t>，</w:t>
            </w:r>
            <w:r>
              <w:rPr>
                <w:rFonts w:hint="eastAsia" w:ascii="宋体" w:hAnsi="宋体" w:cs="宋体"/>
                <w:color w:val="auto"/>
              </w:rPr>
              <w:br w:type="textWrapping"/>
            </w:r>
            <w:r>
              <w:rPr>
                <w:rFonts w:hint="eastAsia" w:ascii="宋体" w:hAnsi="宋体" w:cs="宋体"/>
                <w:color w:val="auto"/>
              </w:rPr>
              <w:t>邮箱：</w:t>
            </w:r>
            <w:r>
              <w:rPr>
                <w:color w:val="auto"/>
              </w:rPr>
              <w:fldChar w:fldCharType="begin"/>
            </w:r>
            <w:r>
              <w:rPr>
                <w:color w:val="auto"/>
              </w:rPr>
              <w:instrText xml:space="preserve"> HYPERLINK "mailto:gdrxzs@163.com" </w:instrText>
            </w:r>
            <w:r>
              <w:rPr>
                <w:color w:val="auto"/>
              </w:rPr>
              <w:fldChar w:fldCharType="separate"/>
            </w:r>
            <w:r>
              <w:rPr>
                <w:rStyle w:val="32"/>
                <w:rFonts w:ascii="宋体" w:hAnsi="宋体" w:cs="宋体"/>
                <w:color w:val="auto"/>
              </w:rPr>
              <w:t>fhxmgl@163.com</w:t>
            </w:r>
            <w:r>
              <w:rPr>
                <w:rStyle w:val="32"/>
                <w:rFonts w:ascii="宋体" w:hAnsi="宋体" w:cs="宋体"/>
                <w:color w:val="auto"/>
              </w:rPr>
              <w:fldChar w:fldCharType="end"/>
            </w:r>
            <w:r>
              <w:rPr>
                <w:rFonts w:hint="eastAsia" w:ascii="宋体" w:hAnsi="宋体" w:cs="宋体"/>
                <w:color w:val="auto"/>
                <w:u w:val="single"/>
              </w:rPr>
              <w:t>，</w:t>
            </w:r>
            <w:r>
              <w:rPr>
                <w:rFonts w:hint="eastAsia" w:ascii="宋体" w:hAnsi="宋体" w:cs="宋体"/>
                <w:color w:val="auto"/>
                <w:u w:val="single"/>
              </w:rPr>
              <w:br w:type="textWrapping"/>
            </w:r>
            <w:r>
              <w:rPr>
                <w:rFonts w:hint="eastAsia" w:ascii="宋体" w:hAnsi="宋体" w:cs="宋体"/>
                <w:color w:val="auto"/>
                <w:u w:val="single"/>
              </w:rPr>
              <w:t>地址：</w:t>
            </w:r>
            <w:r>
              <w:rPr>
                <w:rFonts w:hint="eastAsia" w:ascii="宋体" w:hAnsi="宋体"/>
                <w:bCs/>
                <w:color w:val="auto"/>
                <w:u w:val="single"/>
              </w:rPr>
              <w:t>中山市东区长江路33号汉宏盈基商务中心406室，方禾（广东）项目管理有限公司</w:t>
            </w:r>
            <w:r>
              <w:rPr>
                <w:rFonts w:hint="eastAsia" w:ascii="宋体" w:hAnsi="宋体" w:cs="宋体"/>
                <w:color w:val="auto"/>
              </w:rPr>
              <w:t>）。</w:t>
            </w:r>
          </w:p>
          <w:p>
            <w:pPr>
              <w:rPr>
                <w:rFonts w:ascii="宋体" w:hAnsi="宋体"/>
                <w:color w:val="auto"/>
                <w:szCs w:val="21"/>
              </w:rPr>
            </w:pPr>
            <w:r>
              <w:rPr>
                <w:rFonts w:hint="eastAsia" w:ascii="宋体" w:hAnsi="宋体"/>
                <w:color w:val="auto"/>
                <w:szCs w:val="21"/>
              </w:rPr>
              <w:t>招标人（招标代理）收集相关问题，对投标人提出的疑问进行回复</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077" w:type="dxa"/>
            <w:vAlign w:val="center"/>
          </w:tcPr>
          <w:p>
            <w:pPr>
              <w:jc w:val="center"/>
              <w:rPr>
                <w:rFonts w:ascii="宋体" w:hAnsi="宋体"/>
                <w:color w:val="auto"/>
                <w:szCs w:val="21"/>
              </w:rPr>
            </w:pPr>
            <w:r>
              <w:rPr>
                <w:rFonts w:hint="eastAsia" w:ascii="宋体" w:hAnsi="宋体"/>
                <w:color w:val="auto"/>
                <w:szCs w:val="21"/>
              </w:rPr>
              <w:t>1.10</w:t>
            </w:r>
          </w:p>
        </w:tc>
        <w:tc>
          <w:tcPr>
            <w:tcW w:w="3601" w:type="dxa"/>
            <w:vAlign w:val="center"/>
          </w:tcPr>
          <w:p>
            <w:pPr>
              <w:jc w:val="center"/>
              <w:rPr>
                <w:rFonts w:ascii="宋体" w:hAnsi="宋体"/>
                <w:color w:val="auto"/>
                <w:szCs w:val="21"/>
              </w:rPr>
            </w:pPr>
            <w:r>
              <w:rPr>
                <w:rFonts w:hint="eastAsia" w:ascii="宋体" w:hAnsi="宋体"/>
                <w:color w:val="auto"/>
                <w:szCs w:val="21"/>
              </w:rPr>
              <w:t>投标人提出问题的截止时间</w:t>
            </w:r>
          </w:p>
        </w:tc>
        <w:tc>
          <w:tcPr>
            <w:tcW w:w="4961" w:type="dxa"/>
            <w:vAlign w:val="center"/>
          </w:tcPr>
          <w:p>
            <w:pPr>
              <w:jc w:val="center"/>
              <w:rPr>
                <w:rFonts w:ascii="宋体" w:hAnsi="宋体"/>
                <w:b/>
                <w:color w:val="auto"/>
              </w:rPr>
            </w:pPr>
            <w:r>
              <w:rPr>
                <w:rFonts w:hint="eastAsia" w:ascii="宋体" w:hAnsi="宋体"/>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77" w:type="dxa"/>
            <w:vAlign w:val="center"/>
          </w:tcPr>
          <w:p>
            <w:pPr>
              <w:jc w:val="center"/>
              <w:rPr>
                <w:rFonts w:ascii="宋体" w:hAnsi="宋体"/>
                <w:color w:val="auto"/>
                <w:szCs w:val="21"/>
              </w:rPr>
            </w:pPr>
            <w:r>
              <w:rPr>
                <w:rFonts w:hint="eastAsia" w:ascii="宋体" w:hAnsi="宋体"/>
                <w:color w:val="auto"/>
                <w:szCs w:val="21"/>
              </w:rPr>
              <w:t>1.10</w:t>
            </w:r>
          </w:p>
        </w:tc>
        <w:tc>
          <w:tcPr>
            <w:tcW w:w="3601" w:type="dxa"/>
            <w:vAlign w:val="center"/>
          </w:tcPr>
          <w:p>
            <w:pPr>
              <w:jc w:val="center"/>
              <w:rPr>
                <w:rFonts w:ascii="宋体" w:hAnsi="宋体"/>
                <w:color w:val="auto"/>
                <w:szCs w:val="21"/>
              </w:rPr>
            </w:pPr>
            <w:r>
              <w:rPr>
                <w:rFonts w:hint="eastAsia" w:ascii="宋体" w:hAnsi="宋体"/>
                <w:color w:val="auto"/>
                <w:szCs w:val="21"/>
              </w:rPr>
              <w:t>招标人澄清的截止时间</w:t>
            </w:r>
          </w:p>
        </w:tc>
        <w:tc>
          <w:tcPr>
            <w:tcW w:w="4961" w:type="dxa"/>
            <w:vAlign w:val="center"/>
          </w:tcPr>
          <w:p>
            <w:pPr>
              <w:jc w:val="center"/>
              <w:rPr>
                <w:rFonts w:ascii="宋体" w:hAnsi="宋体"/>
                <w:b/>
                <w:color w:val="auto"/>
              </w:rPr>
            </w:pPr>
            <w:r>
              <w:rPr>
                <w:rFonts w:hint="eastAsia" w:ascii="宋体" w:hAnsi="宋体"/>
                <w:b/>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1077" w:type="dxa"/>
            <w:vAlign w:val="center"/>
          </w:tcPr>
          <w:p>
            <w:pPr>
              <w:jc w:val="center"/>
              <w:rPr>
                <w:rFonts w:ascii="宋体" w:hAnsi="宋体"/>
                <w:color w:val="auto"/>
                <w:szCs w:val="21"/>
              </w:rPr>
            </w:pPr>
            <w:r>
              <w:rPr>
                <w:rFonts w:hint="eastAsia" w:ascii="宋体" w:hAnsi="宋体"/>
                <w:color w:val="auto"/>
                <w:szCs w:val="21"/>
              </w:rPr>
              <w:t>1.11</w:t>
            </w:r>
          </w:p>
        </w:tc>
        <w:tc>
          <w:tcPr>
            <w:tcW w:w="3601" w:type="dxa"/>
            <w:vAlign w:val="center"/>
          </w:tcPr>
          <w:p>
            <w:pPr>
              <w:jc w:val="center"/>
              <w:rPr>
                <w:rFonts w:ascii="宋体" w:hAnsi="宋体"/>
                <w:color w:val="auto"/>
                <w:szCs w:val="21"/>
              </w:rPr>
            </w:pPr>
            <w:r>
              <w:rPr>
                <w:rFonts w:hint="eastAsia" w:ascii="宋体" w:hAnsi="宋体"/>
                <w:color w:val="auto"/>
                <w:szCs w:val="21"/>
              </w:rPr>
              <w:t>分包</w:t>
            </w:r>
          </w:p>
        </w:tc>
        <w:tc>
          <w:tcPr>
            <w:tcW w:w="4961" w:type="dxa"/>
            <w:vAlign w:val="center"/>
          </w:tcPr>
          <w:p>
            <w:pPr>
              <w:rPr>
                <w:rFonts w:ascii="宋体" w:hAnsi="宋体"/>
                <w:color w:val="auto"/>
                <w:szCs w:val="21"/>
              </w:rPr>
            </w:pPr>
            <w:r>
              <w:rPr>
                <w:rFonts w:hint="eastAsia" w:ascii="宋体" w:hAnsi="宋体"/>
                <w:color w:val="auto"/>
                <w:szCs w:val="21"/>
              </w:rPr>
              <w:t>■不允许</w:t>
            </w:r>
          </w:p>
          <w:p>
            <w:pPr>
              <w:widowControl w:val="0"/>
              <w:numPr>
                <w:ilvl w:val="0"/>
                <w:numId w:val="2"/>
              </w:numPr>
              <w:tabs>
                <w:tab w:val="left" w:pos="317"/>
                <w:tab w:val="clear" w:pos="360"/>
              </w:tabs>
              <w:ind w:left="0" w:firstLine="0"/>
              <w:jc w:val="both"/>
              <w:rPr>
                <w:rFonts w:ascii="宋体" w:hAnsi="宋体"/>
                <w:color w:val="auto"/>
                <w:szCs w:val="21"/>
              </w:rPr>
            </w:pPr>
            <w:r>
              <w:rPr>
                <w:rFonts w:hint="eastAsia" w:ascii="宋体" w:hAnsi="宋体"/>
                <w:color w:val="auto"/>
                <w:szCs w:val="21"/>
              </w:rPr>
              <w:t>允许,分包内容要求:</w:t>
            </w:r>
          </w:p>
          <w:p>
            <w:pPr>
              <w:rPr>
                <w:rFonts w:ascii="宋体" w:hAnsi="宋体"/>
                <w:color w:val="auto"/>
                <w:szCs w:val="21"/>
              </w:rPr>
            </w:pPr>
            <w:r>
              <w:rPr>
                <w:rFonts w:hint="eastAsia" w:ascii="宋体" w:hAnsi="宋体"/>
                <w:color w:val="auto"/>
                <w:szCs w:val="21"/>
              </w:rPr>
              <w:t>分包金额要求:</w:t>
            </w:r>
          </w:p>
          <w:p>
            <w:pPr>
              <w:rPr>
                <w:rFonts w:ascii="宋体" w:hAnsi="宋体"/>
                <w:color w:val="auto"/>
                <w:szCs w:val="21"/>
              </w:rPr>
            </w:pPr>
            <w:r>
              <w:rPr>
                <w:rFonts w:hint="eastAsia" w:ascii="宋体" w:hAnsi="宋体"/>
                <w:color w:val="auto"/>
                <w:szCs w:val="21"/>
              </w:rPr>
              <w:t>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077" w:type="dxa"/>
            <w:vAlign w:val="center"/>
          </w:tcPr>
          <w:p>
            <w:pPr>
              <w:jc w:val="center"/>
              <w:rPr>
                <w:rFonts w:ascii="宋体" w:hAnsi="宋体"/>
                <w:color w:val="auto"/>
                <w:szCs w:val="21"/>
              </w:rPr>
            </w:pPr>
            <w:r>
              <w:rPr>
                <w:rFonts w:hint="eastAsia" w:ascii="宋体" w:hAnsi="宋体"/>
                <w:color w:val="auto"/>
                <w:szCs w:val="21"/>
              </w:rPr>
              <w:t>1.12</w:t>
            </w:r>
          </w:p>
        </w:tc>
        <w:tc>
          <w:tcPr>
            <w:tcW w:w="3601" w:type="dxa"/>
            <w:vAlign w:val="center"/>
          </w:tcPr>
          <w:p>
            <w:pPr>
              <w:jc w:val="center"/>
              <w:rPr>
                <w:rFonts w:ascii="宋体" w:hAnsi="宋体"/>
                <w:color w:val="auto"/>
                <w:szCs w:val="21"/>
              </w:rPr>
            </w:pPr>
            <w:r>
              <w:rPr>
                <w:rFonts w:hint="eastAsia" w:ascii="宋体" w:hAnsi="宋体"/>
                <w:color w:val="auto"/>
                <w:szCs w:val="21"/>
              </w:rPr>
              <w:t>偏离</w:t>
            </w:r>
          </w:p>
        </w:tc>
        <w:tc>
          <w:tcPr>
            <w:tcW w:w="4961" w:type="dxa"/>
            <w:vAlign w:val="center"/>
          </w:tcPr>
          <w:p>
            <w:pPr>
              <w:rPr>
                <w:rFonts w:ascii="宋体" w:hAnsi="宋体"/>
                <w:color w:val="auto"/>
                <w:szCs w:val="21"/>
              </w:rPr>
            </w:pPr>
            <w:r>
              <w:rPr>
                <w:rFonts w:hint="eastAsia" w:ascii="宋体" w:hAnsi="宋体"/>
                <w:color w:val="auto"/>
                <w:szCs w:val="21"/>
              </w:rPr>
              <w:t>■不允许</w:t>
            </w:r>
          </w:p>
          <w:p>
            <w:pPr>
              <w:widowControl w:val="0"/>
              <w:numPr>
                <w:ilvl w:val="0"/>
                <w:numId w:val="2"/>
              </w:numPr>
              <w:tabs>
                <w:tab w:val="left" w:pos="317"/>
                <w:tab w:val="clear" w:pos="360"/>
              </w:tabs>
              <w:ind w:left="0" w:firstLine="0"/>
              <w:jc w:val="both"/>
              <w:rPr>
                <w:rFonts w:ascii="宋体" w:hAnsi="宋体"/>
                <w:color w:val="auto"/>
                <w:szCs w:val="21"/>
              </w:rPr>
            </w:pPr>
            <w:r>
              <w:rPr>
                <w:rFonts w:hint="eastAsia" w:ascii="宋体" w:hAnsi="宋体"/>
                <w:color w:val="auto"/>
                <w:szCs w:val="21"/>
              </w:rPr>
              <w:t>允许</w:t>
            </w:r>
          </w:p>
          <w:p>
            <w:pPr>
              <w:rPr>
                <w:rFonts w:ascii="宋体" w:hAnsi="宋体"/>
                <w:color w:val="auto"/>
                <w:szCs w:val="21"/>
              </w:rPr>
            </w:pPr>
            <w:r>
              <w:rPr>
                <w:rFonts w:hint="eastAsia" w:ascii="宋体" w:hAnsi="宋体"/>
                <w:color w:val="auto"/>
                <w:szCs w:val="21"/>
              </w:rPr>
              <w:t>可偏离的项目和范围见第七章</w:t>
            </w:r>
          </w:p>
          <w:p>
            <w:pPr>
              <w:rPr>
                <w:rFonts w:ascii="宋体" w:hAnsi="宋体"/>
                <w:color w:val="auto"/>
                <w:szCs w:val="21"/>
              </w:rPr>
            </w:pPr>
            <w:r>
              <w:rPr>
                <w:rFonts w:hint="eastAsia" w:ascii="宋体" w:hAnsi="宋体"/>
                <w:color w:val="auto"/>
                <w:szCs w:val="21"/>
              </w:rPr>
              <w:t xml:space="preserve">       “技术标准和要求”：</w:t>
            </w:r>
          </w:p>
          <w:p>
            <w:pPr>
              <w:rPr>
                <w:rFonts w:ascii="宋体" w:hAnsi="宋体"/>
                <w:color w:val="auto"/>
                <w:szCs w:val="21"/>
              </w:rPr>
            </w:pPr>
            <w:r>
              <w:rPr>
                <w:rFonts w:hint="eastAsia" w:ascii="宋体" w:hAnsi="宋体"/>
                <w:color w:val="auto"/>
                <w:szCs w:val="21"/>
              </w:rPr>
              <w:t xml:space="preserve">        允许偏离最高项数：</w:t>
            </w:r>
            <w:r>
              <w:rPr>
                <w:rFonts w:hint="eastAsia" w:ascii="宋体" w:hAnsi="宋体"/>
                <w:color w:val="auto"/>
                <w:szCs w:val="21"/>
                <w:u w:val="single"/>
              </w:rPr>
              <w:t xml:space="preserve">      </w:t>
            </w:r>
          </w:p>
          <w:p>
            <w:pPr>
              <w:rPr>
                <w:rFonts w:ascii="宋体" w:hAnsi="宋体"/>
                <w:color w:val="auto"/>
                <w:szCs w:val="21"/>
              </w:rPr>
            </w:pPr>
            <w:r>
              <w:rPr>
                <w:rFonts w:hint="eastAsia" w:ascii="宋体" w:hAnsi="宋体"/>
                <w:color w:val="auto"/>
                <w:szCs w:val="21"/>
              </w:rPr>
              <w:t xml:space="preserve">        偏差调整方法：</w:t>
            </w:r>
            <w:r>
              <w:rPr>
                <w:rFonts w:hint="eastAsia" w:ascii="宋体" w:hAnsi="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77" w:type="dxa"/>
            <w:vAlign w:val="center"/>
          </w:tcPr>
          <w:p>
            <w:pPr>
              <w:jc w:val="center"/>
              <w:rPr>
                <w:rFonts w:ascii="宋体" w:hAnsi="宋体"/>
                <w:color w:val="auto"/>
                <w:szCs w:val="21"/>
              </w:rPr>
            </w:pPr>
            <w:r>
              <w:rPr>
                <w:rFonts w:hint="eastAsia" w:ascii="宋体" w:hAnsi="宋体"/>
                <w:color w:val="auto"/>
                <w:szCs w:val="21"/>
              </w:rPr>
              <w:t>2.1</w:t>
            </w:r>
          </w:p>
        </w:tc>
        <w:tc>
          <w:tcPr>
            <w:tcW w:w="3601" w:type="dxa"/>
            <w:vAlign w:val="center"/>
          </w:tcPr>
          <w:p>
            <w:pPr>
              <w:jc w:val="center"/>
              <w:rPr>
                <w:rFonts w:ascii="宋体" w:hAnsi="宋体"/>
                <w:color w:val="auto"/>
                <w:szCs w:val="21"/>
              </w:rPr>
            </w:pPr>
            <w:r>
              <w:rPr>
                <w:rFonts w:hint="eastAsia" w:ascii="宋体" w:hAnsi="宋体"/>
                <w:color w:val="auto"/>
                <w:szCs w:val="21"/>
              </w:rPr>
              <w:t>构成招标文件的其他材料</w:t>
            </w:r>
          </w:p>
        </w:tc>
        <w:tc>
          <w:tcPr>
            <w:tcW w:w="4961" w:type="dxa"/>
            <w:vAlign w:val="center"/>
          </w:tcPr>
          <w:p>
            <w:pPr>
              <w:rPr>
                <w:rFonts w:ascii="宋体" w:hAnsi="宋体"/>
                <w:color w:val="auto"/>
                <w:szCs w:val="21"/>
              </w:rPr>
            </w:pPr>
            <w:r>
              <w:rPr>
                <w:rFonts w:hint="eastAsia" w:ascii="宋体" w:hAnsi="宋体"/>
                <w:color w:val="auto"/>
                <w:szCs w:val="21"/>
              </w:rPr>
              <w:t>施工设计图、工程量清单（招标控制价）、招标答疑文件等。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77" w:type="dxa"/>
            <w:vAlign w:val="center"/>
          </w:tcPr>
          <w:p>
            <w:pPr>
              <w:jc w:val="center"/>
              <w:rPr>
                <w:rFonts w:ascii="宋体" w:hAnsi="宋体"/>
                <w:color w:val="auto"/>
                <w:szCs w:val="21"/>
              </w:rPr>
            </w:pPr>
            <w:r>
              <w:rPr>
                <w:rFonts w:hint="eastAsia" w:ascii="宋体" w:hAnsi="宋体"/>
                <w:color w:val="auto"/>
                <w:szCs w:val="21"/>
              </w:rPr>
              <w:t>2.2.1</w:t>
            </w:r>
          </w:p>
        </w:tc>
        <w:tc>
          <w:tcPr>
            <w:tcW w:w="3601" w:type="dxa"/>
            <w:vAlign w:val="center"/>
          </w:tcPr>
          <w:p>
            <w:pPr>
              <w:jc w:val="center"/>
              <w:rPr>
                <w:rFonts w:ascii="宋体" w:hAnsi="宋体"/>
                <w:color w:val="auto"/>
                <w:szCs w:val="21"/>
              </w:rPr>
            </w:pPr>
            <w:r>
              <w:rPr>
                <w:rFonts w:hint="eastAsia" w:ascii="宋体" w:hAnsi="宋体"/>
                <w:color w:val="auto"/>
                <w:szCs w:val="21"/>
              </w:rPr>
              <w:t>投标人要求澄清招标文件的截止时间</w:t>
            </w:r>
          </w:p>
        </w:tc>
        <w:tc>
          <w:tcPr>
            <w:tcW w:w="4961" w:type="dxa"/>
            <w:vAlign w:val="center"/>
          </w:tcPr>
          <w:p>
            <w:pPr>
              <w:jc w:val="center"/>
              <w:rPr>
                <w:rFonts w:ascii="宋体" w:hAnsi="宋体"/>
                <w:color w:val="auto"/>
                <w:szCs w:val="21"/>
              </w:rPr>
            </w:pP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77" w:type="dxa"/>
            <w:vAlign w:val="center"/>
          </w:tcPr>
          <w:p>
            <w:pPr>
              <w:jc w:val="center"/>
              <w:rPr>
                <w:rFonts w:ascii="宋体" w:hAnsi="宋体"/>
                <w:color w:val="auto"/>
                <w:szCs w:val="21"/>
              </w:rPr>
            </w:pPr>
            <w:r>
              <w:rPr>
                <w:rFonts w:hint="eastAsia" w:ascii="宋体" w:hAnsi="宋体"/>
                <w:color w:val="auto"/>
                <w:szCs w:val="21"/>
              </w:rPr>
              <w:t>2.2.2</w:t>
            </w:r>
          </w:p>
        </w:tc>
        <w:tc>
          <w:tcPr>
            <w:tcW w:w="3601" w:type="dxa"/>
            <w:vAlign w:val="center"/>
          </w:tcPr>
          <w:p>
            <w:pPr>
              <w:jc w:val="center"/>
              <w:rPr>
                <w:rFonts w:ascii="宋体" w:hAnsi="宋体"/>
                <w:color w:val="auto"/>
                <w:szCs w:val="21"/>
              </w:rPr>
            </w:pPr>
            <w:r>
              <w:rPr>
                <w:rFonts w:hint="eastAsia" w:ascii="宋体" w:hAnsi="宋体"/>
                <w:color w:val="auto"/>
                <w:szCs w:val="21"/>
              </w:rPr>
              <w:t>投标截止时间</w:t>
            </w:r>
          </w:p>
        </w:tc>
        <w:tc>
          <w:tcPr>
            <w:tcW w:w="4961" w:type="dxa"/>
            <w:vAlign w:val="center"/>
          </w:tcPr>
          <w:p>
            <w:pPr>
              <w:jc w:val="center"/>
              <w:rPr>
                <w:rFonts w:ascii="宋体" w:hAnsi="宋体"/>
                <w:color w:val="auto"/>
                <w:szCs w:val="21"/>
              </w:rPr>
            </w:pPr>
            <w:r>
              <w:rPr>
                <w:rFonts w:hint="eastAsia" w:ascii="宋体" w:hAnsi="宋体"/>
                <w:color w:val="auto"/>
                <w:szCs w:val="21"/>
              </w:rPr>
              <w:t>见邀请招标公告。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77" w:type="dxa"/>
            <w:vAlign w:val="center"/>
          </w:tcPr>
          <w:p>
            <w:pPr>
              <w:jc w:val="center"/>
              <w:rPr>
                <w:rFonts w:ascii="宋体" w:hAnsi="宋体"/>
                <w:color w:val="auto"/>
                <w:szCs w:val="21"/>
              </w:rPr>
            </w:pPr>
            <w:r>
              <w:rPr>
                <w:rFonts w:hint="eastAsia" w:ascii="宋体" w:hAnsi="宋体"/>
                <w:color w:val="auto"/>
                <w:szCs w:val="21"/>
              </w:rPr>
              <w:t>5.1</w:t>
            </w:r>
          </w:p>
        </w:tc>
        <w:tc>
          <w:tcPr>
            <w:tcW w:w="3601" w:type="dxa"/>
            <w:vAlign w:val="center"/>
          </w:tcPr>
          <w:p>
            <w:pPr>
              <w:jc w:val="center"/>
              <w:rPr>
                <w:rFonts w:ascii="宋体" w:hAnsi="宋体"/>
                <w:color w:val="auto"/>
                <w:szCs w:val="21"/>
              </w:rPr>
            </w:pPr>
            <w:r>
              <w:rPr>
                <w:rFonts w:hint="eastAsia" w:ascii="宋体" w:hAnsi="宋体"/>
                <w:color w:val="auto"/>
                <w:szCs w:val="21"/>
              </w:rPr>
              <w:t>开标时间</w:t>
            </w:r>
          </w:p>
        </w:tc>
        <w:tc>
          <w:tcPr>
            <w:tcW w:w="4961" w:type="dxa"/>
            <w:vAlign w:val="center"/>
          </w:tcPr>
          <w:p>
            <w:pPr>
              <w:jc w:val="center"/>
              <w:rPr>
                <w:rFonts w:ascii="宋体" w:hAnsi="宋体"/>
                <w:color w:val="auto"/>
                <w:szCs w:val="21"/>
                <w:u w:val="single"/>
              </w:rPr>
            </w:pPr>
            <w:r>
              <w:rPr>
                <w:rFonts w:hint="eastAsia" w:ascii="宋体" w:hAnsi="宋体"/>
                <w:color w:val="auto"/>
                <w:szCs w:val="21"/>
              </w:rPr>
              <w:t>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077" w:type="dxa"/>
            <w:vAlign w:val="center"/>
          </w:tcPr>
          <w:p>
            <w:pPr>
              <w:jc w:val="center"/>
              <w:rPr>
                <w:rFonts w:ascii="宋体" w:hAnsi="宋体"/>
                <w:color w:val="auto"/>
                <w:szCs w:val="21"/>
              </w:rPr>
            </w:pPr>
            <w:r>
              <w:rPr>
                <w:rFonts w:hint="eastAsia" w:ascii="宋体" w:hAnsi="宋体"/>
                <w:color w:val="auto"/>
                <w:szCs w:val="21"/>
              </w:rPr>
              <w:t>3.1.1</w:t>
            </w:r>
          </w:p>
        </w:tc>
        <w:tc>
          <w:tcPr>
            <w:tcW w:w="3601" w:type="dxa"/>
            <w:vAlign w:val="center"/>
          </w:tcPr>
          <w:p>
            <w:pPr>
              <w:jc w:val="center"/>
              <w:rPr>
                <w:rFonts w:ascii="宋体" w:hAnsi="宋体"/>
                <w:color w:val="auto"/>
                <w:szCs w:val="21"/>
              </w:rPr>
            </w:pPr>
            <w:r>
              <w:rPr>
                <w:rFonts w:hint="eastAsia" w:ascii="宋体" w:hAnsi="宋体"/>
                <w:color w:val="auto"/>
                <w:szCs w:val="21"/>
              </w:rPr>
              <w:t>构成投标文件的其他材料</w:t>
            </w:r>
          </w:p>
        </w:tc>
        <w:tc>
          <w:tcPr>
            <w:tcW w:w="4961" w:type="dxa"/>
            <w:vAlign w:val="center"/>
          </w:tcPr>
          <w:p>
            <w:pPr>
              <w:rPr>
                <w:rFonts w:ascii="宋体" w:hAnsi="宋体"/>
                <w:color w:val="auto"/>
                <w:szCs w:val="21"/>
              </w:rPr>
            </w:pPr>
            <w:r>
              <w:rPr>
                <w:rFonts w:hint="eastAsia" w:ascii="宋体" w:hAnsi="宋体"/>
                <w:color w:val="auto"/>
                <w:szCs w:val="21"/>
              </w:rPr>
              <w:t xml:space="preserve">    投标人认为需提交的其他资料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77" w:type="dxa"/>
            <w:vAlign w:val="center"/>
          </w:tcPr>
          <w:p>
            <w:pPr>
              <w:jc w:val="center"/>
              <w:rPr>
                <w:rFonts w:ascii="宋体" w:hAnsi="宋体"/>
                <w:color w:val="auto"/>
                <w:szCs w:val="21"/>
              </w:rPr>
            </w:pPr>
            <w:r>
              <w:rPr>
                <w:rFonts w:hint="eastAsia" w:ascii="宋体" w:hAnsi="宋体"/>
                <w:color w:val="auto"/>
                <w:szCs w:val="21"/>
              </w:rPr>
              <w:t>3.2.1</w:t>
            </w:r>
          </w:p>
        </w:tc>
        <w:tc>
          <w:tcPr>
            <w:tcW w:w="3601" w:type="dxa"/>
            <w:vAlign w:val="center"/>
          </w:tcPr>
          <w:p>
            <w:pPr>
              <w:jc w:val="center"/>
              <w:rPr>
                <w:rFonts w:ascii="宋体" w:hAnsi="宋体"/>
                <w:color w:val="auto"/>
                <w:szCs w:val="21"/>
              </w:rPr>
            </w:pPr>
            <w:r>
              <w:rPr>
                <w:rFonts w:hint="eastAsia" w:ascii="宋体" w:hAnsi="宋体"/>
                <w:color w:val="auto"/>
                <w:szCs w:val="21"/>
              </w:rPr>
              <w:t>投标有效期</w:t>
            </w:r>
          </w:p>
        </w:tc>
        <w:tc>
          <w:tcPr>
            <w:tcW w:w="4961" w:type="dxa"/>
            <w:vAlign w:val="center"/>
          </w:tcPr>
          <w:p>
            <w:pPr>
              <w:rPr>
                <w:rFonts w:ascii="宋体" w:hAnsi="宋体"/>
                <w:color w:val="auto"/>
                <w:szCs w:val="21"/>
              </w:rPr>
            </w:pPr>
            <w:r>
              <w:rPr>
                <w:rFonts w:hint="eastAsia" w:ascii="宋体" w:hAnsi="宋体"/>
                <w:color w:val="auto"/>
                <w:szCs w:val="21"/>
                <w:u w:val="single"/>
              </w:rPr>
              <w:t xml:space="preserve">   90    </w:t>
            </w:r>
            <w:r>
              <w:rPr>
                <w:rFonts w:hint="eastAsia" w:ascii="宋体" w:hAnsi="宋体"/>
                <w:color w:val="auto"/>
                <w:szCs w:val="21"/>
              </w:rPr>
              <w:t>日历天</w:t>
            </w:r>
            <w:r>
              <w:rPr>
                <w:rFonts w:hint="eastAsia" w:ascii="宋体" w:hAnsi="宋体"/>
                <w:color w:val="auto"/>
              </w:rPr>
              <w:t>（</w:t>
            </w:r>
            <w:r>
              <w:rPr>
                <w:rFonts w:hint="eastAsia" w:ascii="宋体" w:hAnsi="宋体"/>
                <w:color w:val="auto"/>
                <w:szCs w:val="21"/>
              </w:rPr>
              <w:t>自开标之日起</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77" w:type="dxa"/>
            <w:vAlign w:val="center"/>
          </w:tcPr>
          <w:p>
            <w:pPr>
              <w:jc w:val="center"/>
              <w:rPr>
                <w:rFonts w:ascii="宋体" w:hAnsi="宋体"/>
                <w:color w:val="auto"/>
                <w:szCs w:val="21"/>
              </w:rPr>
            </w:pPr>
            <w:r>
              <w:rPr>
                <w:rFonts w:hint="eastAsia" w:ascii="宋体" w:hAnsi="宋体"/>
                <w:color w:val="auto"/>
                <w:szCs w:val="21"/>
              </w:rPr>
              <w:t>3.3</w:t>
            </w:r>
          </w:p>
        </w:tc>
        <w:tc>
          <w:tcPr>
            <w:tcW w:w="3601" w:type="dxa"/>
            <w:vAlign w:val="center"/>
          </w:tcPr>
          <w:p>
            <w:pPr>
              <w:rPr>
                <w:rFonts w:hint="eastAsia" w:ascii="Times New Roman" w:hAnsi="Times New Roman" w:eastAsia="宋体" w:cs="Times New Roman"/>
                <w:color w:val="auto"/>
              </w:rPr>
            </w:pPr>
            <w:r>
              <w:rPr>
                <w:rFonts w:hint="eastAsia" w:ascii="Times New Roman" w:hAnsi="Times New Roman" w:eastAsia="宋体" w:cs="Times New Roman"/>
                <w:color w:val="auto"/>
              </w:rPr>
              <w:t>投标保证金</w:t>
            </w:r>
          </w:p>
        </w:tc>
        <w:tc>
          <w:tcPr>
            <w:tcW w:w="4961" w:type="dxa"/>
            <w:vAlign w:val="center"/>
          </w:tcPr>
          <w:p>
            <w:pPr>
              <w:rPr>
                <w:rFonts w:ascii="宋体" w:hAnsi="宋体"/>
                <w:color w:val="auto"/>
                <w:szCs w:val="21"/>
              </w:rPr>
            </w:pPr>
            <w:r>
              <w:rPr>
                <w:rFonts w:hint="eastAsia" w:ascii="宋体" w:hAnsi="宋体"/>
                <w:color w:val="auto"/>
                <w:szCs w:val="21"/>
              </w:rPr>
              <w:t>投标保证金的形式：</w:t>
            </w:r>
            <w:r>
              <w:rPr>
                <w:rFonts w:hint="eastAsia" w:ascii="宋体" w:hAnsi="宋体"/>
                <w:color w:val="auto"/>
                <w:szCs w:val="21"/>
                <w:u w:val="single"/>
              </w:rPr>
              <w:t xml:space="preserve">     /    </w:t>
            </w:r>
          </w:p>
          <w:p>
            <w:pPr>
              <w:autoSpaceDE w:val="0"/>
              <w:autoSpaceDN w:val="0"/>
              <w:adjustRightInd w:val="0"/>
              <w:rPr>
                <w:rFonts w:hint="eastAsia" w:ascii="Times New Roman" w:hAnsi="Times New Roman" w:eastAsia="宋体" w:cs="Times New Roman"/>
                <w:color w:val="auto"/>
              </w:rPr>
            </w:pPr>
            <w:r>
              <w:rPr>
                <w:rFonts w:hint="eastAsia" w:ascii="宋体" w:hAnsi="宋体"/>
                <w:color w:val="auto"/>
                <w:szCs w:val="21"/>
              </w:rPr>
              <w:t>投标保证金的金额：</w:t>
            </w:r>
            <w:r>
              <w:rPr>
                <w:rFonts w:hint="eastAsia" w:ascii="宋体" w:hAnsi="宋体"/>
                <w:color w:val="auto"/>
                <w:szCs w:val="21"/>
                <w:u w:val="single"/>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77" w:type="dxa"/>
            <w:vAlign w:val="center"/>
          </w:tcPr>
          <w:p>
            <w:pPr>
              <w:jc w:val="center"/>
              <w:rPr>
                <w:rFonts w:ascii="宋体" w:hAnsi="宋体"/>
                <w:color w:val="auto"/>
                <w:szCs w:val="21"/>
              </w:rPr>
            </w:pPr>
            <w:r>
              <w:rPr>
                <w:rFonts w:hint="eastAsia" w:ascii="宋体" w:hAnsi="宋体"/>
                <w:color w:val="auto"/>
                <w:szCs w:val="21"/>
              </w:rPr>
              <w:t>3.4</w:t>
            </w:r>
          </w:p>
        </w:tc>
        <w:tc>
          <w:tcPr>
            <w:tcW w:w="3601" w:type="dxa"/>
            <w:vAlign w:val="center"/>
          </w:tcPr>
          <w:p>
            <w:pPr>
              <w:jc w:val="center"/>
              <w:rPr>
                <w:rFonts w:ascii="宋体" w:hAnsi="宋体"/>
                <w:color w:val="auto"/>
                <w:szCs w:val="21"/>
              </w:rPr>
            </w:pPr>
            <w:r>
              <w:rPr>
                <w:rFonts w:hint="eastAsia" w:ascii="宋体" w:hAnsi="宋体"/>
                <w:color w:val="auto"/>
                <w:szCs w:val="21"/>
              </w:rPr>
              <w:t>是否允许递交备选投标方案</w:t>
            </w:r>
          </w:p>
        </w:tc>
        <w:tc>
          <w:tcPr>
            <w:tcW w:w="4961" w:type="dxa"/>
            <w:vAlign w:val="center"/>
          </w:tcPr>
          <w:p>
            <w:pPr>
              <w:rPr>
                <w:rFonts w:ascii="宋体" w:hAnsi="宋体"/>
                <w:color w:val="auto"/>
                <w:szCs w:val="21"/>
              </w:rPr>
            </w:pPr>
            <w:r>
              <w:rPr>
                <w:rFonts w:hint="eastAsia" w:ascii="宋体" w:hAnsi="宋体"/>
                <w:color w:val="auto"/>
                <w:szCs w:val="21"/>
              </w:rPr>
              <w:t>■ 不允许</w:t>
            </w:r>
          </w:p>
          <w:p>
            <w:pPr>
              <w:widowControl w:val="0"/>
              <w:numPr>
                <w:ilvl w:val="0"/>
                <w:numId w:val="2"/>
              </w:numPr>
              <w:tabs>
                <w:tab w:val="left" w:pos="317"/>
                <w:tab w:val="clear" w:pos="360"/>
              </w:tabs>
              <w:ind w:left="0" w:firstLine="0"/>
              <w:jc w:val="both"/>
              <w:rPr>
                <w:rFonts w:ascii="宋体" w:hAnsi="宋体"/>
                <w:color w:val="auto"/>
                <w:szCs w:val="21"/>
              </w:rPr>
            </w:pPr>
            <w:r>
              <w:rPr>
                <w:rFonts w:hint="eastAsia" w:ascii="宋体" w:hAnsi="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77" w:type="dxa"/>
            <w:vAlign w:val="center"/>
          </w:tcPr>
          <w:p>
            <w:pPr>
              <w:jc w:val="center"/>
              <w:rPr>
                <w:rFonts w:ascii="宋体" w:hAnsi="宋体"/>
                <w:color w:val="auto"/>
                <w:szCs w:val="21"/>
              </w:rPr>
            </w:pPr>
            <w:r>
              <w:rPr>
                <w:rFonts w:hint="eastAsia" w:ascii="宋体" w:hAnsi="宋体"/>
                <w:color w:val="auto"/>
                <w:szCs w:val="21"/>
              </w:rPr>
              <w:t>3.1.1</w:t>
            </w:r>
          </w:p>
        </w:tc>
        <w:tc>
          <w:tcPr>
            <w:tcW w:w="3601" w:type="dxa"/>
            <w:vAlign w:val="center"/>
          </w:tcPr>
          <w:p>
            <w:pPr>
              <w:jc w:val="center"/>
              <w:rPr>
                <w:rFonts w:ascii="宋体" w:hAnsi="宋体"/>
                <w:color w:val="auto"/>
                <w:szCs w:val="21"/>
              </w:rPr>
            </w:pPr>
            <w:r>
              <w:rPr>
                <w:rFonts w:hint="eastAsia" w:ascii="宋体" w:hAnsi="宋体"/>
                <w:color w:val="auto"/>
                <w:szCs w:val="21"/>
              </w:rPr>
              <w:t>签字或盖章要求</w:t>
            </w:r>
          </w:p>
        </w:tc>
        <w:tc>
          <w:tcPr>
            <w:tcW w:w="4961" w:type="dxa"/>
            <w:vAlign w:val="center"/>
          </w:tcPr>
          <w:p>
            <w:pPr>
              <w:autoSpaceDE w:val="0"/>
              <w:autoSpaceDN w:val="0"/>
              <w:adjustRightInd w:val="0"/>
              <w:rPr>
                <w:rFonts w:ascii="宋体" w:hAnsi="宋体"/>
                <w:color w:val="auto"/>
                <w:szCs w:val="21"/>
              </w:rPr>
            </w:pPr>
            <w:r>
              <w:rPr>
                <w:rFonts w:hint="eastAsia" w:ascii="宋体" w:hAnsi="宋体"/>
                <w:color w:val="auto"/>
                <w:szCs w:val="21"/>
              </w:rPr>
              <w:t xml:space="preserve">1.投标文件封面：由法定代表人或其代理人签字并加盖单位公章； </w:t>
            </w:r>
          </w:p>
          <w:p>
            <w:pPr>
              <w:autoSpaceDE w:val="0"/>
              <w:autoSpaceDN w:val="0"/>
              <w:adjustRightInd w:val="0"/>
              <w:rPr>
                <w:rFonts w:ascii="宋体" w:hAnsi="宋体"/>
                <w:color w:val="auto"/>
                <w:szCs w:val="21"/>
              </w:rPr>
            </w:pPr>
            <w:r>
              <w:rPr>
                <w:rFonts w:hint="eastAsia" w:ascii="宋体" w:hAnsi="宋体"/>
                <w:color w:val="auto"/>
                <w:szCs w:val="21"/>
              </w:rPr>
              <w:t xml:space="preserve">2.承诺书：由法定代表人或其代理人签字并加盖单位章； </w:t>
            </w:r>
          </w:p>
          <w:p>
            <w:pPr>
              <w:rPr>
                <w:rFonts w:ascii="宋体" w:hAnsi="宋体"/>
                <w:color w:val="auto"/>
                <w:szCs w:val="21"/>
              </w:rPr>
            </w:pPr>
            <w:r>
              <w:rPr>
                <w:rFonts w:hint="eastAsia" w:ascii="宋体" w:hAnsi="宋体"/>
                <w:color w:val="auto"/>
                <w:szCs w:val="21"/>
              </w:rPr>
              <w:t xml:space="preserve">3.投标总价：由法定代表人或其代理人签字、加盖单位章； </w:t>
            </w:r>
          </w:p>
          <w:p>
            <w:pPr>
              <w:autoSpaceDE w:val="0"/>
              <w:autoSpaceDN w:val="0"/>
              <w:adjustRightInd w:val="0"/>
              <w:rPr>
                <w:rFonts w:ascii="宋体" w:hAnsi="宋体"/>
                <w:color w:val="auto"/>
                <w:szCs w:val="21"/>
              </w:rPr>
            </w:pPr>
            <w:r>
              <w:rPr>
                <w:rFonts w:hint="eastAsia" w:ascii="宋体" w:hAnsi="宋体"/>
                <w:color w:val="auto"/>
                <w:szCs w:val="21"/>
              </w:rPr>
              <w:t xml:space="preserve">4.法定代表人身份证明：有单位公章； </w:t>
            </w:r>
          </w:p>
          <w:p>
            <w:pPr>
              <w:autoSpaceDE w:val="0"/>
              <w:autoSpaceDN w:val="0"/>
              <w:adjustRightInd w:val="0"/>
              <w:rPr>
                <w:rFonts w:ascii="宋体" w:hAnsi="宋体"/>
                <w:color w:val="auto"/>
                <w:szCs w:val="21"/>
              </w:rPr>
            </w:pPr>
            <w:r>
              <w:rPr>
                <w:rFonts w:hint="eastAsia" w:ascii="宋体" w:hAnsi="宋体"/>
                <w:color w:val="auto"/>
                <w:szCs w:val="21"/>
              </w:rPr>
              <w:t>5.授权委托书：有法定代表人签字并加盖单位公章。</w:t>
            </w:r>
          </w:p>
          <w:p>
            <w:pPr>
              <w:rPr>
                <w:rFonts w:ascii="宋体" w:hAnsi="宋体"/>
                <w:color w:val="auto"/>
                <w:szCs w:val="21"/>
              </w:rPr>
            </w:pPr>
            <w:r>
              <w:rPr>
                <w:rFonts w:hint="eastAsia" w:ascii="宋体" w:hAnsi="宋体"/>
                <w:color w:val="auto"/>
                <w:szCs w:val="21"/>
              </w:rPr>
              <w:t>签字要求：文件中要求由法定代表人或代理人签字处须由法定代表人或代理人签字（不允许盖私章代替签字）；</w:t>
            </w:r>
          </w:p>
          <w:p>
            <w:pPr>
              <w:rPr>
                <w:rFonts w:ascii="宋体" w:hAnsi="宋体"/>
                <w:color w:val="auto"/>
                <w:szCs w:val="21"/>
              </w:rPr>
            </w:pPr>
            <w:r>
              <w:rPr>
                <w:rFonts w:hint="eastAsia" w:ascii="宋体" w:hAnsi="宋体"/>
                <w:color w:val="auto"/>
                <w:szCs w:val="21"/>
              </w:rPr>
              <w:t>盖章要求：文件中要求加盖公章处需加盖公章。</w:t>
            </w:r>
          </w:p>
          <w:p>
            <w:pPr>
              <w:rPr>
                <w:rFonts w:ascii="宋体" w:hAnsi="宋体"/>
                <w:color w:val="auto"/>
                <w:szCs w:val="21"/>
              </w:rPr>
            </w:pPr>
            <w:r>
              <w:rPr>
                <w:rFonts w:hint="eastAsia" w:ascii="宋体" w:hAnsi="宋体"/>
                <w:color w:val="auto"/>
                <w:szCs w:val="21"/>
              </w:rPr>
              <w:t>联合体投标的，要求如何签字、盖章。（即需要签字盖章处均由联合体各方的法定代表人（代理人）签字并加盖各方单位公章或是由联合体牵头单位的法定代表人（代理人）签字并加盖牵头单位公章）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77" w:type="dxa"/>
            <w:vAlign w:val="center"/>
          </w:tcPr>
          <w:p>
            <w:pPr>
              <w:jc w:val="center"/>
              <w:rPr>
                <w:rFonts w:ascii="宋体" w:hAnsi="宋体"/>
                <w:color w:val="auto"/>
                <w:szCs w:val="21"/>
              </w:rPr>
            </w:pPr>
            <w:r>
              <w:rPr>
                <w:rFonts w:hint="eastAsia" w:ascii="宋体" w:hAnsi="宋体"/>
                <w:color w:val="auto"/>
                <w:szCs w:val="21"/>
              </w:rPr>
              <w:t>3.1.1</w:t>
            </w:r>
          </w:p>
        </w:tc>
        <w:tc>
          <w:tcPr>
            <w:tcW w:w="3601" w:type="dxa"/>
            <w:vAlign w:val="center"/>
          </w:tcPr>
          <w:p>
            <w:pPr>
              <w:jc w:val="center"/>
              <w:rPr>
                <w:rFonts w:ascii="宋体" w:hAnsi="宋体"/>
                <w:color w:val="auto"/>
                <w:szCs w:val="21"/>
              </w:rPr>
            </w:pPr>
            <w:r>
              <w:rPr>
                <w:rFonts w:hint="eastAsia" w:ascii="宋体" w:hAnsi="宋体"/>
                <w:color w:val="auto"/>
                <w:szCs w:val="21"/>
              </w:rPr>
              <w:t>投标文件份数</w:t>
            </w:r>
          </w:p>
        </w:tc>
        <w:tc>
          <w:tcPr>
            <w:tcW w:w="4961" w:type="dxa"/>
            <w:vAlign w:val="center"/>
          </w:tcPr>
          <w:p>
            <w:pPr>
              <w:autoSpaceDE w:val="0"/>
              <w:autoSpaceDN w:val="0"/>
              <w:adjustRightInd w:val="0"/>
              <w:rPr>
                <w:rFonts w:ascii="宋体" w:hAnsi="宋体"/>
                <w:color w:val="auto"/>
              </w:rPr>
            </w:pPr>
            <w:r>
              <w:rPr>
                <w:rFonts w:hint="eastAsia" w:ascii="宋体" w:hAnsi="宋体"/>
                <w:color w:val="auto"/>
              </w:rPr>
              <w:t>纸质标书（开标时提交）</w:t>
            </w:r>
          </w:p>
          <w:p>
            <w:pPr>
              <w:autoSpaceDE w:val="0"/>
              <w:autoSpaceDN w:val="0"/>
              <w:adjustRightInd w:val="0"/>
              <w:ind w:right="180"/>
              <w:rPr>
                <w:rFonts w:hint="eastAsia" w:ascii="宋体" w:hAnsi="宋体"/>
                <w:color w:val="auto"/>
              </w:rPr>
            </w:pPr>
            <w:r>
              <w:rPr>
                <w:rFonts w:hint="eastAsia" w:ascii="宋体" w:hAnsi="宋体"/>
                <w:color w:val="auto"/>
                <w:lang w:eastAsia="zh-CN"/>
              </w:rPr>
              <w:t>基本资料：</w:t>
            </w:r>
            <w:r>
              <w:rPr>
                <w:rFonts w:hint="eastAsia" w:ascii="宋体" w:hAnsi="宋体"/>
                <w:color w:val="auto"/>
              </w:rPr>
              <w:t>正本1份，须为原件；副本3份，为正本的复印件。正副本封面均须加盖投标人公章，在正副本的封面右上角注明“正本”或“副本”）。</w:t>
            </w:r>
          </w:p>
          <w:p>
            <w:pPr>
              <w:autoSpaceDE w:val="0"/>
              <w:autoSpaceDN w:val="0"/>
              <w:adjustRightInd w:val="0"/>
              <w:ind w:right="180"/>
              <w:rPr>
                <w:rFonts w:hint="eastAsia" w:ascii="宋体" w:hAnsi="宋体" w:eastAsia="宋体"/>
                <w:color w:val="auto"/>
                <w:lang w:eastAsia="zh-CN"/>
              </w:rPr>
            </w:pPr>
            <w:r>
              <w:rPr>
                <w:rFonts w:hint="eastAsia" w:ascii="宋体" w:hAnsi="宋体"/>
                <w:color w:val="auto"/>
                <w:lang w:eastAsia="zh-CN"/>
              </w:rPr>
              <w:t>经济标函：</w:t>
            </w:r>
            <w:r>
              <w:rPr>
                <w:rFonts w:hint="eastAsia" w:ascii="宋体" w:hAnsi="宋体"/>
                <w:color w:val="auto"/>
              </w:rPr>
              <w:t>正本1份，须为原件；副本3份，为正本的复印件。正副本封面均须加盖投标人公章，在正副本的封面右上角注明“正本”或“副本”）。</w:t>
            </w:r>
          </w:p>
          <w:p>
            <w:pPr>
              <w:autoSpaceDE w:val="0"/>
              <w:autoSpaceDN w:val="0"/>
              <w:adjustRightInd w:val="0"/>
              <w:ind w:right="180"/>
              <w:rPr>
                <w:rFonts w:ascii="宋体" w:hAnsi="宋体"/>
                <w:color w:val="auto"/>
              </w:rPr>
            </w:pPr>
            <w:r>
              <w:rPr>
                <w:rFonts w:hint="eastAsia" w:ascii="宋体" w:hAnsi="宋体"/>
                <w:color w:val="auto"/>
              </w:rPr>
              <w:t>按3.1.1要求签字和盖章。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77" w:type="dxa"/>
            <w:vAlign w:val="center"/>
          </w:tcPr>
          <w:p>
            <w:pPr>
              <w:jc w:val="center"/>
              <w:rPr>
                <w:rFonts w:ascii="宋体" w:hAnsi="宋体"/>
                <w:color w:val="auto"/>
                <w:szCs w:val="21"/>
              </w:rPr>
            </w:pPr>
            <w:r>
              <w:rPr>
                <w:rFonts w:hint="eastAsia" w:ascii="宋体" w:hAnsi="宋体"/>
                <w:color w:val="auto"/>
                <w:szCs w:val="21"/>
              </w:rPr>
              <w:t>3.1.1</w:t>
            </w:r>
          </w:p>
        </w:tc>
        <w:tc>
          <w:tcPr>
            <w:tcW w:w="3601" w:type="dxa"/>
            <w:vAlign w:val="center"/>
          </w:tcPr>
          <w:p>
            <w:pPr>
              <w:jc w:val="center"/>
              <w:rPr>
                <w:rFonts w:ascii="宋体" w:hAnsi="宋体"/>
                <w:color w:val="auto"/>
                <w:szCs w:val="21"/>
              </w:rPr>
            </w:pPr>
            <w:r>
              <w:rPr>
                <w:rFonts w:hint="eastAsia" w:ascii="宋体" w:hAnsi="宋体"/>
                <w:color w:val="auto"/>
                <w:szCs w:val="21"/>
              </w:rPr>
              <w:t>投标文件编制要求</w:t>
            </w:r>
          </w:p>
        </w:tc>
        <w:tc>
          <w:tcPr>
            <w:tcW w:w="4961" w:type="dxa"/>
            <w:vAlign w:val="center"/>
          </w:tcPr>
          <w:p>
            <w:pPr>
              <w:rPr>
                <w:rFonts w:ascii="宋体" w:hAnsi="宋体"/>
                <w:color w:val="auto"/>
                <w:szCs w:val="21"/>
              </w:rPr>
            </w:pPr>
            <w:r>
              <w:rPr>
                <w:rFonts w:hint="eastAsia" w:ascii="宋体" w:hAnsi="宋体"/>
                <w:color w:val="auto"/>
                <w:szCs w:val="21"/>
              </w:rPr>
              <w:t>编制要求：按3.1.1顺序编制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77" w:type="dxa"/>
            <w:vAlign w:val="center"/>
          </w:tcPr>
          <w:p>
            <w:pPr>
              <w:jc w:val="center"/>
              <w:rPr>
                <w:rFonts w:ascii="宋体" w:hAnsi="宋体"/>
                <w:color w:val="auto"/>
                <w:szCs w:val="21"/>
              </w:rPr>
            </w:pPr>
            <w:r>
              <w:rPr>
                <w:rFonts w:hint="eastAsia" w:ascii="宋体" w:hAnsi="宋体"/>
                <w:color w:val="auto"/>
                <w:szCs w:val="21"/>
              </w:rPr>
              <w:t>5.1</w:t>
            </w:r>
          </w:p>
        </w:tc>
        <w:tc>
          <w:tcPr>
            <w:tcW w:w="3601" w:type="dxa"/>
            <w:vAlign w:val="center"/>
          </w:tcPr>
          <w:p>
            <w:pPr>
              <w:jc w:val="center"/>
              <w:rPr>
                <w:rFonts w:ascii="宋体" w:hAnsi="宋体"/>
                <w:color w:val="auto"/>
                <w:szCs w:val="21"/>
              </w:rPr>
            </w:pPr>
            <w:r>
              <w:rPr>
                <w:rFonts w:hint="eastAsia" w:ascii="宋体" w:hAnsi="宋体"/>
                <w:color w:val="auto"/>
                <w:szCs w:val="21"/>
              </w:rPr>
              <w:t>开标地点</w:t>
            </w:r>
          </w:p>
        </w:tc>
        <w:tc>
          <w:tcPr>
            <w:tcW w:w="4961" w:type="dxa"/>
            <w:vAlign w:val="center"/>
          </w:tcPr>
          <w:p>
            <w:pPr>
              <w:rPr>
                <w:rFonts w:ascii="宋体" w:hAnsi="宋体"/>
                <w:color w:val="auto"/>
                <w:kern w:val="2"/>
                <w:sz w:val="21"/>
                <w:szCs w:val="21"/>
              </w:rPr>
            </w:pPr>
            <w:r>
              <w:rPr>
                <w:rFonts w:hint="eastAsia" w:ascii="宋体" w:hAnsi="宋体"/>
                <w:color w:val="auto"/>
                <w:szCs w:val="21"/>
              </w:rPr>
              <w:t>中山市东区长江路33号汉宏盈基商务中心406室，方禾（广东）项目管理有限公司。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077" w:type="dxa"/>
            <w:vAlign w:val="center"/>
          </w:tcPr>
          <w:p>
            <w:pPr>
              <w:jc w:val="center"/>
              <w:rPr>
                <w:rFonts w:ascii="宋体" w:hAnsi="宋体"/>
                <w:color w:val="auto"/>
                <w:szCs w:val="21"/>
              </w:rPr>
            </w:pPr>
            <w:r>
              <w:rPr>
                <w:rFonts w:hint="eastAsia" w:ascii="宋体" w:hAnsi="宋体"/>
                <w:color w:val="auto"/>
                <w:szCs w:val="21"/>
              </w:rPr>
              <w:t>5.2</w:t>
            </w:r>
          </w:p>
        </w:tc>
        <w:tc>
          <w:tcPr>
            <w:tcW w:w="3601" w:type="dxa"/>
            <w:vAlign w:val="center"/>
          </w:tcPr>
          <w:p>
            <w:pPr>
              <w:jc w:val="center"/>
              <w:rPr>
                <w:rFonts w:ascii="宋体" w:hAnsi="宋体"/>
                <w:color w:val="auto"/>
                <w:szCs w:val="21"/>
              </w:rPr>
            </w:pPr>
            <w:r>
              <w:rPr>
                <w:rFonts w:hint="eastAsia" w:ascii="宋体" w:hAnsi="宋体"/>
                <w:color w:val="auto"/>
                <w:szCs w:val="21"/>
              </w:rPr>
              <w:t>开标程序</w:t>
            </w:r>
          </w:p>
        </w:tc>
        <w:tc>
          <w:tcPr>
            <w:tcW w:w="4961" w:type="dxa"/>
            <w:vAlign w:val="center"/>
          </w:tcPr>
          <w:p>
            <w:pPr>
              <w:rPr>
                <w:rFonts w:ascii="宋体" w:hAnsi="宋体"/>
                <w:color w:val="auto"/>
                <w:szCs w:val="21"/>
              </w:rPr>
            </w:pPr>
            <w:r>
              <w:rPr>
                <w:rFonts w:hint="eastAsia" w:ascii="宋体" w:hAnsi="宋体"/>
                <w:color w:val="auto"/>
                <w:szCs w:val="21"/>
              </w:rPr>
              <w:t>详见投标人须知总则5.2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77" w:type="dxa"/>
            <w:vAlign w:val="center"/>
          </w:tcPr>
          <w:p>
            <w:pPr>
              <w:jc w:val="center"/>
              <w:rPr>
                <w:rFonts w:ascii="宋体" w:hAnsi="宋体"/>
                <w:color w:val="auto"/>
                <w:szCs w:val="21"/>
              </w:rPr>
            </w:pPr>
            <w:r>
              <w:rPr>
                <w:rFonts w:hint="eastAsia" w:ascii="宋体" w:hAnsi="宋体"/>
                <w:color w:val="auto"/>
                <w:szCs w:val="21"/>
              </w:rPr>
              <w:t>6.1.1</w:t>
            </w:r>
          </w:p>
        </w:tc>
        <w:tc>
          <w:tcPr>
            <w:tcW w:w="3601" w:type="dxa"/>
            <w:vAlign w:val="center"/>
          </w:tcPr>
          <w:p>
            <w:pPr>
              <w:jc w:val="center"/>
              <w:rPr>
                <w:rFonts w:ascii="宋体" w:hAnsi="宋体"/>
                <w:color w:val="auto"/>
                <w:szCs w:val="21"/>
              </w:rPr>
            </w:pPr>
            <w:r>
              <w:rPr>
                <w:rFonts w:hint="eastAsia" w:ascii="宋体" w:hAnsi="宋体"/>
                <w:color w:val="auto"/>
                <w:szCs w:val="21"/>
              </w:rPr>
              <w:t>评标委员会的组建</w:t>
            </w:r>
          </w:p>
        </w:tc>
        <w:tc>
          <w:tcPr>
            <w:tcW w:w="4961" w:type="dxa"/>
            <w:vAlign w:val="center"/>
          </w:tcPr>
          <w:p>
            <w:pPr>
              <w:rPr>
                <w:rFonts w:ascii="宋体" w:hAnsi="宋体"/>
                <w:color w:val="auto"/>
                <w:szCs w:val="21"/>
              </w:rPr>
            </w:pPr>
            <w:r>
              <w:rPr>
                <w:rFonts w:hint="eastAsia" w:ascii="宋体" w:hAnsi="宋体"/>
                <w:color w:val="auto"/>
                <w:szCs w:val="21"/>
              </w:rPr>
              <w:t>评标委员会构成:</w:t>
            </w:r>
            <w:r>
              <w:rPr>
                <w:rFonts w:hint="eastAsia" w:ascii="宋体" w:hAnsi="宋体"/>
                <w:color w:val="auto"/>
                <w:szCs w:val="21"/>
                <w:u w:val="single"/>
              </w:rPr>
              <w:t xml:space="preserve"> </w:t>
            </w:r>
            <w:r>
              <w:rPr>
                <w:rFonts w:hint="eastAsia" w:ascii="宋体" w:hAnsi="宋体"/>
                <w:color w:val="auto"/>
                <w:szCs w:val="21"/>
                <w:u w:val="single"/>
                <w:lang w:val="en-US" w:eastAsia="zh-CN"/>
              </w:rPr>
              <w:t>3</w:t>
            </w:r>
            <w:r>
              <w:rPr>
                <w:rFonts w:hint="eastAsia" w:ascii="宋体" w:hAnsi="宋体"/>
                <w:color w:val="auto"/>
                <w:szCs w:val="21"/>
                <w:u w:val="single"/>
              </w:rPr>
              <w:t xml:space="preserve"> </w:t>
            </w:r>
            <w:r>
              <w:rPr>
                <w:rFonts w:hint="eastAsia" w:ascii="宋体" w:hAnsi="宋体"/>
                <w:color w:val="auto"/>
                <w:szCs w:val="21"/>
              </w:rPr>
              <w:t>人。</w:t>
            </w:r>
          </w:p>
          <w:p>
            <w:pPr>
              <w:rPr>
                <w:rFonts w:ascii="宋体" w:hAnsi="宋体"/>
                <w:b/>
                <w:color w:val="auto"/>
                <w:szCs w:val="21"/>
              </w:rPr>
            </w:pPr>
            <w:r>
              <w:rPr>
                <w:rFonts w:hint="eastAsia" w:ascii="宋体" w:hAnsi="宋体"/>
                <w:color w:val="auto"/>
                <w:szCs w:val="21"/>
              </w:rPr>
              <w:t>评标专家确定方式：在专家库中随机抽取。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77" w:type="dxa"/>
            <w:vAlign w:val="center"/>
          </w:tcPr>
          <w:p>
            <w:pPr>
              <w:jc w:val="center"/>
              <w:rPr>
                <w:rFonts w:ascii="宋体" w:hAnsi="宋体"/>
                <w:color w:val="auto"/>
                <w:szCs w:val="21"/>
              </w:rPr>
            </w:pPr>
            <w:r>
              <w:rPr>
                <w:rFonts w:hint="eastAsia" w:ascii="宋体" w:hAnsi="宋体"/>
                <w:color w:val="auto"/>
                <w:szCs w:val="21"/>
              </w:rPr>
              <w:t>7.1</w:t>
            </w:r>
          </w:p>
        </w:tc>
        <w:tc>
          <w:tcPr>
            <w:tcW w:w="3601" w:type="dxa"/>
            <w:vAlign w:val="center"/>
          </w:tcPr>
          <w:p>
            <w:pPr>
              <w:jc w:val="center"/>
              <w:rPr>
                <w:rFonts w:ascii="宋体" w:hAnsi="宋体"/>
                <w:color w:val="auto"/>
                <w:szCs w:val="21"/>
              </w:rPr>
            </w:pPr>
            <w:r>
              <w:rPr>
                <w:rFonts w:hint="eastAsia" w:ascii="宋体" w:hAnsi="宋体"/>
                <w:color w:val="auto"/>
                <w:szCs w:val="21"/>
              </w:rPr>
              <w:t>是否授权评标委员会确定中标人</w:t>
            </w:r>
          </w:p>
        </w:tc>
        <w:tc>
          <w:tcPr>
            <w:tcW w:w="4961" w:type="dxa"/>
            <w:vAlign w:val="center"/>
          </w:tcPr>
          <w:p>
            <w:pPr>
              <w:widowControl w:val="0"/>
              <w:numPr>
                <w:ilvl w:val="0"/>
                <w:numId w:val="2"/>
              </w:numPr>
              <w:tabs>
                <w:tab w:val="left" w:pos="317"/>
                <w:tab w:val="clear" w:pos="360"/>
              </w:tabs>
              <w:ind w:left="0" w:firstLine="0"/>
              <w:jc w:val="both"/>
              <w:rPr>
                <w:rFonts w:ascii="宋体" w:hAnsi="宋体"/>
                <w:color w:val="auto"/>
                <w:szCs w:val="21"/>
              </w:rPr>
            </w:pPr>
            <w:r>
              <w:rPr>
                <w:rFonts w:hint="eastAsia" w:ascii="宋体" w:hAnsi="宋体"/>
                <w:color w:val="auto"/>
                <w:szCs w:val="21"/>
              </w:rPr>
              <w:t>是</w:t>
            </w:r>
          </w:p>
          <w:p>
            <w:pPr>
              <w:rPr>
                <w:rFonts w:ascii="宋体" w:hAnsi="宋体"/>
                <w:color w:val="auto"/>
                <w:szCs w:val="21"/>
              </w:rPr>
            </w:pPr>
            <w:r>
              <w:rPr>
                <w:rFonts w:hint="eastAsia" w:ascii="宋体" w:hAnsi="宋体"/>
                <w:color w:val="auto"/>
                <w:szCs w:val="21"/>
              </w:rPr>
              <w:t>■否,推荐的中标候选人数：3名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77" w:type="dxa"/>
            <w:vAlign w:val="center"/>
          </w:tcPr>
          <w:p>
            <w:pPr>
              <w:jc w:val="center"/>
              <w:rPr>
                <w:rFonts w:ascii="宋体" w:hAnsi="宋体"/>
                <w:color w:val="auto"/>
                <w:szCs w:val="21"/>
              </w:rPr>
            </w:pPr>
            <w:r>
              <w:rPr>
                <w:rFonts w:hint="eastAsia" w:ascii="宋体" w:hAnsi="宋体"/>
                <w:color w:val="auto"/>
                <w:szCs w:val="21"/>
              </w:rPr>
              <w:t>7.3.1</w:t>
            </w:r>
          </w:p>
        </w:tc>
        <w:tc>
          <w:tcPr>
            <w:tcW w:w="3601" w:type="dxa"/>
            <w:vAlign w:val="center"/>
          </w:tcPr>
          <w:p>
            <w:pPr>
              <w:jc w:val="center"/>
              <w:rPr>
                <w:rFonts w:ascii="宋体" w:hAnsi="宋体"/>
                <w:color w:val="auto"/>
                <w:szCs w:val="21"/>
              </w:rPr>
            </w:pPr>
            <w:r>
              <w:rPr>
                <w:rFonts w:hint="eastAsia" w:ascii="宋体" w:hAnsi="宋体"/>
                <w:color w:val="auto"/>
                <w:szCs w:val="21"/>
              </w:rPr>
              <w:t>履约担保</w:t>
            </w:r>
          </w:p>
        </w:tc>
        <w:tc>
          <w:tcPr>
            <w:tcW w:w="4961" w:type="dxa"/>
            <w:vAlign w:val="center"/>
          </w:tcPr>
          <w:p>
            <w:pPr>
              <w:rPr>
                <w:rFonts w:ascii="宋体" w:hAnsi="宋体"/>
                <w:color w:val="auto"/>
                <w:szCs w:val="21"/>
              </w:rPr>
            </w:pPr>
            <w:r>
              <w:rPr>
                <w:rFonts w:hint="eastAsia" w:ascii="宋体" w:hAnsi="宋体"/>
                <w:color w:val="auto"/>
                <w:szCs w:val="21"/>
              </w:rPr>
              <w:t>履约担保的形式：</w:t>
            </w:r>
            <w:r>
              <w:rPr>
                <w:rFonts w:hint="eastAsia" w:ascii="宋体" w:hAnsi="宋体"/>
                <w:color w:val="auto"/>
                <w:szCs w:val="21"/>
                <w:u w:val="single"/>
              </w:rPr>
              <w:t xml:space="preserve">     /    </w:t>
            </w:r>
          </w:p>
          <w:p>
            <w:pPr>
              <w:rPr>
                <w:rFonts w:ascii="宋体" w:hAnsi="宋体"/>
                <w:color w:val="auto"/>
                <w:szCs w:val="21"/>
              </w:rPr>
            </w:pPr>
            <w:r>
              <w:rPr>
                <w:rFonts w:hint="eastAsia" w:ascii="宋体" w:hAnsi="宋体"/>
                <w:color w:val="auto"/>
                <w:szCs w:val="21"/>
              </w:rPr>
              <w:t>履约担保的金额：</w:t>
            </w:r>
            <w:r>
              <w:rPr>
                <w:rFonts w:hint="eastAsia" w:ascii="宋体" w:hAnsi="宋体"/>
                <w:color w:val="auto"/>
                <w:szCs w:val="21"/>
                <w:u w:val="single"/>
              </w:rPr>
              <w:t xml:space="preserve">     无    </w:t>
            </w:r>
            <w:r>
              <w:rPr>
                <w:rFonts w:hint="eastAsia" w:ascii="宋体" w:hAnsi="宋体" w:cs="Arial"/>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77" w:type="dxa"/>
            <w:vAlign w:val="center"/>
          </w:tcPr>
          <w:p>
            <w:pPr>
              <w:jc w:val="center"/>
              <w:rPr>
                <w:rFonts w:hint="eastAsia" w:ascii="宋体" w:hAnsi="宋体" w:eastAsia="宋体"/>
                <w:color w:val="auto"/>
                <w:szCs w:val="21"/>
                <w:lang w:eastAsia="zh-CN"/>
              </w:rPr>
            </w:pPr>
            <w:r>
              <w:rPr>
                <w:rFonts w:hint="eastAsia" w:ascii="宋体" w:hAnsi="宋体"/>
                <w:color w:val="auto"/>
                <w:szCs w:val="21"/>
                <w:lang w:val="en-US" w:eastAsia="zh-CN"/>
              </w:rPr>
              <w:t>8</w:t>
            </w:r>
          </w:p>
        </w:tc>
        <w:tc>
          <w:tcPr>
            <w:tcW w:w="3601" w:type="dxa"/>
            <w:vAlign w:val="center"/>
          </w:tcPr>
          <w:p>
            <w:pPr>
              <w:jc w:val="center"/>
              <w:rPr>
                <w:rFonts w:ascii="宋体" w:hAnsi="宋体"/>
                <w:color w:val="auto"/>
                <w:szCs w:val="21"/>
              </w:rPr>
            </w:pPr>
            <w:r>
              <w:rPr>
                <w:rFonts w:hint="eastAsia" w:ascii="宋体" w:hAnsi="宋体"/>
                <w:color w:val="auto"/>
                <w:szCs w:val="21"/>
              </w:rPr>
              <w:t>投标人纪律</w:t>
            </w:r>
          </w:p>
        </w:tc>
        <w:tc>
          <w:tcPr>
            <w:tcW w:w="4961" w:type="dxa"/>
            <w:vAlign w:val="center"/>
          </w:tcPr>
          <w:p>
            <w:pPr>
              <w:jc w:val="center"/>
              <w:rPr>
                <w:rFonts w:ascii="宋体" w:hAnsi="宋体"/>
                <w:color w:val="auto"/>
                <w:szCs w:val="21"/>
              </w:rPr>
            </w:pPr>
            <w:r>
              <w:rPr>
                <w:rFonts w:hint="eastAsia" w:ascii="宋体" w:hAnsi="宋体"/>
                <w:color w:val="auto"/>
                <w:szCs w:val="21"/>
              </w:rPr>
              <w:t>投标人必须独立编制投标文件。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77" w:type="dxa"/>
            <w:vAlign w:val="center"/>
          </w:tcPr>
          <w:p>
            <w:pPr>
              <w:jc w:val="center"/>
              <w:rPr>
                <w:rFonts w:ascii="宋体" w:hAnsi="宋体"/>
                <w:color w:val="auto"/>
                <w:szCs w:val="21"/>
              </w:rPr>
            </w:pPr>
            <w:r>
              <w:rPr>
                <w:rFonts w:hint="eastAsia" w:ascii="宋体" w:hAnsi="宋体"/>
                <w:color w:val="auto"/>
                <w:szCs w:val="21"/>
              </w:rPr>
              <w:t>9</w:t>
            </w:r>
          </w:p>
        </w:tc>
        <w:tc>
          <w:tcPr>
            <w:tcW w:w="8562" w:type="dxa"/>
            <w:gridSpan w:val="2"/>
            <w:vAlign w:val="center"/>
          </w:tcPr>
          <w:p>
            <w:pPr>
              <w:jc w:val="center"/>
              <w:rPr>
                <w:rFonts w:ascii="宋体" w:hAnsi="宋体"/>
                <w:color w:val="auto"/>
                <w:szCs w:val="21"/>
              </w:rPr>
            </w:pPr>
            <w:r>
              <w:rPr>
                <w:rFonts w:hint="eastAsia" w:ascii="宋体" w:hAnsi="宋体"/>
                <w:color w:val="auto"/>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77" w:type="dxa"/>
            <w:vAlign w:val="center"/>
          </w:tcPr>
          <w:p>
            <w:pPr>
              <w:jc w:val="center"/>
              <w:rPr>
                <w:rFonts w:ascii="宋体" w:hAnsi="宋体"/>
                <w:color w:val="auto"/>
                <w:szCs w:val="21"/>
              </w:rPr>
            </w:pPr>
            <w:r>
              <w:rPr>
                <w:rFonts w:hint="eastAsia" w:ascii="宋体" w:hAnsi="宋体"/>
                <w:color w:val="auto"/>
                <w:szCs w:val="21"/>
              </w:rPr>
              <w:t>9.1</w:t>
            </w:r>
          </w:p>
        </w:tc>
        <w:tc>
          <w:tcPr>
            <w:tcW w:w="8562" w:type="dxa"/>
            <w:gridSpan w:val="2"/>
            <w:vAlign w:val="center"/>
          </w:tcPr>
          <w:p>
            <w:pPr>
              <w:rPr>
                <w:rFonts w:ascii="宋体" w:hAnsi="宋体"/>
                <w:color w:val="auto"/>
                <w:szCs w:val="21"/>
              </w:rPr>
            </w:pPr>
            <w:r>
              <w:rPr>
                <w:rFonts w:hint="eastAsia" w:ascii="宋体" w:hAnsi="宋体"/>
                <w:color w:val="auto"/>
                <w:szCs w:val="21"/>
              </w:rPr>
              <w:t>投标报价上限价及绿色施工安全防护措施费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77" w:type="dxa"/>
            <w:vAlign w:val="center"/>
          </w:tcPr>
          <w:p>
            <w:pPr>
              <w:jc w:val="center"/>
              <w:rPr>
                <w:rFonts w:ascii="宋体" w:hAnsi="宋体"/>
                <w:color w:val="auto"/>
                <w:szCs w:val="21"/>
              </w:rPr>
            </w:pPr>
            <w:r>
              <w:rPr>
                <w:rFonts w:hint="eastAsia" w:ascii="宋体" w:hAnsi="宋体"/>
                <w:color w:val="auto"/>
                <w:szCs w:val="21"/>
              </w:rPr>
              <w:t>9.2</w:t>
            </w:r>
          </w:p>
        </w:tc>
        <w:tc>
          <w:tcPr>
            <w:tcW w:w="8562" w:type="dxa"/>
            <w:gridSpan w:val="2"/>
            <w:vAlign w:val="center"/>
          </w:tcPr>
          <w:p>
            <w:pPr>
              <w:rPr>
                <w:rFonts w:ascii="宋体" w:hAnsi="宋体"/>
                <w:color w:val="auto"/>
                <w:szCs w:val="21"/>
              </w:rPr>
            </w:pPr>
            <w:r>
              <w:rPr>
                <w:rFonts w:hint="eastAsia" w:ascii="宋体" w:hAnsi="宋体"/>
                <w:color w:val="auto"/>
                <w:szCs w:val="21"/>
              </w:rPr>
              <w:t>合同价格和承包标准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77" w:type="dxa"/>
            <w:vAlign w:val="center"/>
          </w:tcPr>
          <w:p>
            <w:pPr>
              <w:jc w:val="center"/>
              <w:rPr>
                <w:rFonts w:ascii="宋体" w:hAnsi="宋体"/>
                <w:color w:val="auto"/>
                <w:szCs w:val="21"/>
              </w:rPr>
            </w:pPr>
            <w:r>
              <w:rPr>
                <w:rFonts w:hint="eastAsia" w:ascii="宋体" w:hAnsi="宋体"/>
                <w:color w:val="auto"/>
                <w:szCs w:val="21"/>
              </w:rPr>
              <w:t>9.3</w:t>
            </w:r>
          </w:p>
        </w:tc>
        <w:tc>
          <w:tcPr>
            <w:tcW w:w="8562" w:type="dxa"/>
            <w:gridSpan w:val="2"/>
            <w:vAlign w:val="center"/>
          </w:tcPr>
          <w:p>
            <w:pPr>
              <w:rPr>
                <w:rFonts w:hint="eastAsia" w:ascii="宋体" w:hAnsi="宋体" w:eastAsia="宋体"/>
                <w:color w:val="auto"/>
                <w:szCs w:val="21"/>
                <w:lang w:eastAsia="zh-CN"/>
              </w:rPr>
            </w:pPr>
            <w:r>
              <w:rPr>
                <w:rFonts w:hint="eastAsia" w:ascii="宋体" w:hAnsi="宋体"/>
                <w:color w:val="auto"/>
                <w:szCs w:val="21"/>
              </w:rPr>
              <w:t>有关事项</w:t>
            </w:r>
            <w:r>
              <w:rPr>
                <w:rFonts w:hint="eastAsia" w:ascii="宋体" w:hAnsi="宋体"/>
                <w:color w:val="auto"/>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1077" w:type="dxa"/>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9.4</w:t>
            </w:r>
          </w:p>
        </w:tc>
        <w:tc>
          <w:tcPr>
            <w:tcW w:w="8562" w:type="dxa"/>
            <w:gridSpan w:val="2"/>
            <w:vAlign w:val="center"/>
          </w:tcPr>
          <w:p>
            <w:pPr>
              <w:rPr>
                <w:rFonts w:ascii="宋体" w:hAnsi="宋体"/>
                <w:color w:val="auto"/>
                <w:szCs w:val="21"/>
              </w:rPr>
            </w:pPr>
            <w:r>
              <w:rPr>
                <w:rFonts w:hint="eastAsia" w:ascii="宋体" w:hAnsi="宋体"/>
                <w:color w:val="auto"/>
                <w:szCs w:val="21"/>
              </w:rPr>
              <w:t>招标代理服务费：本项目招标代理服务费由中标人向招标代理机构支付，招标代理服务费的收费标准按国家发展计划委员会颁发的（计价格[2002]1980号、发改价格[2011]534号）文件规定的工程类，以中标通知书的中标金额作为收费的计算依据，按差额定率累进法计算，由中标人在领取中标通知书前一次性支付给招标代理机构。（不足5000元的，按5000元收取）</w:t>
            </w:r>
          </w:p>
          <w:p>
            <w:pPr>
              <w:rPr>
                <w:rFonts w:ascii="宋体" w:hAnsi="宋体"/>
                <w:color w:val="auto"/>
                <w:szCs w:val="21"/>
              </w:rPr>
            </w:pPr>
            <w:r>
              <w:rPr>
                <w:rFonts w:hint="eastAsia" w:ascii="宋体" w:hAnsi="宋体"/>
                <w:bCs/>
                <w:color w:val="auto"/>
                <w:szCs w:val="21"/>
              </w:rPr>
              <w:t>由中标人在领取中标通知书前一次性支付给招标代理机构</w:t>
            </w:r>
            <w:r>
              <w:rPr>
                <w:rFonts w:hint="eastAsia" w:ascii="宋体" w:hAnsi="宋体"/>
                <w:color w:val="auto"/>
                <w:szCs w:val="21"/>
              </w:rPr>
              <w:t>。招标代理服务费不列在投标报价中。投标人参与本项目投标即已接受上述费用包含在投标报价中，中标后如不支付视为违约行为。</w:t>
            </w:r>
          </w:p>
        </w:tc>
      </w:tr>
    </w:tbl>
    <w:p>
      <w:pPr>
        <w:rPr>
          <w:rFonts w:ascii="宋体" w:hAnsi="宋体"/>
          <w:color w:val="auto"/>
          <w:sz w:val="21"/>
          <w:szCs w:val="21"/>
        </w:rPr>
      </w:pPr>
      <w:bookmarkStart w:id="19" w:name="_Toc184635071"/>
    </w:p>
    <w:p>
      <w:pPr>
        <w:rPr>
          <w:rFonts w:ascii="宋体" w:hAnsi="宋体"/>
          <w:color w:val="auto"/>
          <w:sz w:val="21"/>
          <w:szCs w:val="21"/>
        </w:rPr>
      </w:pPr>
    </w:p>
    <w:p>
      <w:pPr>
        <w:rPr>
          <w:rFonts w:ascii="宋体" w:hAnsi="宋体"/>
          <w:color w:val="auto"/>
          <w:sz w:val="21"/>
          <w:szCs w:val="21"/>
        </w:rPr>
      </w:pPr>
    </w:p>
    <w:p>
      <w:pPr>
        <w:rPr>
          <w:rFonts w:ascii="宋体" w:hAnsi="宋体"/>
          <w:color w:val="auto"/>
          <w:sz w:val="21"/>
          <w:szCs w:val="21"/>
        </w:rPr>
      </w:pPr>
    </w:p>
    <w:p>
      <w:pPr>
        <w:rPr>
          <w:rFonts w:ascii="宋体" w:hAnsi="宋体"/>
          <w:color w:val="auto"/>
          <w:sz w:val="21"/>
          <w:szCs w:val="21"/>
        </w:rPr>
      </w:pPr>
    </w:p>
    <w:p>
      <w:pPr>
        <w:rPr>
          <w:rFonts w:ascii="宋体" w:hAnsi="宋体"/>
          <w:color w:val="auto"/>
          <w:sz w:val="21"/>
          <w:szCs w:val="21"/>
        </w:rPr>
      </w:pPr>
    </w:p>
    <w:p>
      <w:pPr>
        <w:rPr>
          <w:rFonts w:ascii="宋体" w:hAnsi="宋体"/>
          <w:color w:val="auto"/>
          <w:sz w:val="21"/>
          <w:szCs w:val="21"/>
        </w:rPr>
      </w:pPr>
    </w:p>
    <w:p>
      <w:pPr>
        <w:rPr>
          <w:rFonts w:ascii="宋体" w:hAnsi="宋体"/>
          <w:color w:val="auto"/>
          <w:sz w:val="21"/>
          <w:szCs w:val="21"/>
        </w:rPr>
      </w:pPr>
    </w:p>
    <w:p>
      <w:pPr>
        <w:rPr>
          <w:rFonts w:ascii="宋体" w:hAnsi="宋体"/>
          <w:color w:val="auto"/>
          <w:sz w:val="21"/>
          <w:szCs w:val="21"/>
        </w:rPr>
      </w:pPr>
    </w:p>
    <w:p>
      <w:pPr>
        <w:rPr>
          <w:rFonts w:ascii="宋体" w:hAnsi="宋体"/>
          <w:color w:val="auto"/>
          <w:sz w:val="21"/>
          <w:szCs w:val="21"/>
        </w:rPr>
      </w:pPr>
    </w:p>
    <w:p>
      <w:pPr>
        <w:rPr>
          <w:rFonts w:ascii="宋体" w:hAnsi="宋体"/>
          <w:color w:val="auto"/>
          <w:sz w:val="21"/>
          <w:szCs w:val="21"/>
        </w:rPr>
      </w:pPr>
    </w:p>
    <w:p>
      <w:pPr>
        <w:rPr>
          <w:rFonts w:ascii="宋体" w:hAnsi="宋体"/>
          <w:color w:val="auto"/>
          <w:sz w:val="21"/>
          <w:szCs w:val="21"/>
        </w:rPr>
      </w:pPr>
    </w:p>
    <w:p>
      <w:pPr>
        <w:rPr>
          <w:rFonts w:ascii="宋体" w:hAnsi="宋体"/>
          <w:color w:val="auto"/>
          <w:sz w:val="21"/>
          <w:szCs w:val="21"/>
        </w:rPr>
      </w:pPr>
    </w:p>
    <w:p>
      <w:pPr>
        <w:rPr>
          <w:rFonts w:ascii="宋体" w:hAnsi="宋体"/>
          <w:color w:val="auto"/>
          <w:sz w:val="21"/>
          <w:szCs w:val="21"/>
        </w:rPr>
      </w:pPr>
    </w:p>
    <w:p>
      <w:pPr>
        <w:rPr>
          <w:rFonts w:ascii="宋体" w:hAnsi="宋体"/>
          <w:color w:val="auto"/>
          <w:sz w:val="21"/>
          <w:szCs w:val="21"/>
        </w:rPr>
      </w:pPr>
    </w:p>
    <w:p>
      <w:pPr>
        <w:rPr>
          <w:rFonts w:ascii="宋体" w:hAnsi="宋体"/>
          <w:color w:val="auto"/>
          <w:sz w:val="21"/>
          <w:szCs w:val="21"/>
        </w:rPr>
      </w:pPr>
    </w:p>
    <w:p>
      <w:pPr>
        <w:rPr>
          <w:rFonts w:ascii="宋体" w:hAnsi="宋体"/>
          <w:color w:val="auto"/>
          <w:sz w:val="21"/>
          <w:szCs w:val="21"/>
        </w:rPr>
      </w:pPr>
    </w:p>
    <w:p>
      <w:pPr>
        <w:rPr>
          <w:rFonts w:ascii="宋体" w:hAnsi="宋体"/>
          <w:color w:val="auto"/>
          <w:sz w:val="21"/>
          <w:szCs w:val="21"/>
        </w:rPr>
        <w:sectPr>
          <w:headerReference r:id="rId5" w:type="default"/>
          <w:pgSz w:w="11906" w:h="16838"/>
          <w:pgMar w:top="1418" w:right="1134" w:bottom="1418" w:left="1418" w:header="851" w:footer="992" w:gutter="0"/>
          <w:cols w:space="720" w:num="1"/>
          <w:docGrid w:linePitch="312" w:charSpace="0"/>
        </w:sectPr>
      </w:pPr>
    </w:p>
    <w:p>
      <w:pPr>
        <w:spacing w:line="360" w:lineRule="auto"/>
        <w:rPr>
          <w:rFonts w:ascii="宋体" w:hAnsi="宋体"/>
          <w:color w:val="auto"/>
        </w:rPr>
      </w:pPr>
      <w:r>
        <w:rPr>
          <w:rFonts w:hint="eastAsia" w:ascii="宋体" w:hAnsi="宋体"/>
          <w:color w:val="auto"/>
        </w:rPr>
        <w:t>1 ．总则</w:t>
      </w:r>
      <w:bookmarkEnd w:id="19"/>
    </w:p>
    <w:p>
      <w:pPr>
        <w:spacing w:line="360" w:lineRule="auto"/>
        <w:rPr>
          <w:rFonts w:ascii="宋体" w:hAnsi="宋体"/>
          <w:color w:val="auto"/>
        </w:rPr>
      </w:pPr>
      <w:r>
        <w:rPr>
          <w:rFonts w:hint="eastAsia" w:ascii="宋体" w:hAnsi="宋体"/>
          <w:color w:val="auto"/>
        </w:rPr>
        <w:t>1.1 项目概况</w:t>
      </w:r>
    </w:p>
    <w:p>
      <w:pPr>
        <w:spacing w:line="360" w:lineRule="auto"/>
        <w:ind w:firstLine="480" w:firstLineChars="200"/>
        <w:rPr>
          <w:rFonts w:ascii="宋体" w:hAnsi="宋体"/>
          <w:color w:val="auto"/>
        </w:rPr>
      </w:pPr>
      <w:r>
        <w:rPr>
          <w:rFonts w:hint="eastAsia" w:ascii="宋体" w:hAnsi="宋体"/>
          <w:color w:val="auto"/>
        </w:rPr>
        <w:t>1.1.1 根据《 中华人民共和国招标投标法》等有关法律、法规和规章的规定，本招标项目己具备招标条件，现对本标段施工进行招标。</w:t>
      </w:r>
    </w:p>
    <w:p>
      <w:pPr>
        <w:spacing w:line="360" w:lineRule="auto"/>
        <w:ind w:firstLine="480" w:firstLineChars="200"/>
        <w:rPr>
          <w:rFonts w:ascii="宋体" w:hAnsi="宋体"/>
          <w:color w:val="auto"/>
        </w:rPr>
      </w:pPr>
      <w:r>
        <w:rPr>
          <w:rFonts w:hint="eastAsia" w:ascii="宋体" w:hAnsi="宋体"/>
          <w:color w:val="auto"/>
        </w:rPr>
        <w:t>1.1.2 本招标项目招标人：见投标人须知前附表。</w:t>
      </w:r>
    </w:p>
    <w:p>
      <w:pPr>
        <w:spacing w:line="360" w:lineRule="auto"/>
        <w:ind w:firstLine="480" w:firstLineChars="200"/>
        <w:rPr>
          <w:rFonts w:ascii="宋体" w:hAnsi="宋体"/>
          <w:color w:val="auto"/>
        </w:rPr>
      </w:pPr>
      <w:r>
        <w:rPr>
          <w:rFonts w:hint="eastAsia" w:ascii="宋体" w:hAnsi="宋体"/>
          <w:color w:val="auto"/>
        </w:rPr>
        <w:t>1.1.3 本标段招标代理机构：见投标人须知前附表。</w:t>
      </w:r>
    </w:p>
    <w:p>
      <w:pPr>
        <w:spacing w:line="360" w:lineRule="auto"/>
        <w:ind w:firstLine="480" w:firstLineChars="200"/>
        <w:rPr>
          <w:rFonts w:ascii="宋体" w:hAnsi="宋体"/>
          <w:color w:val="auto"/>
        </w:rPr>
      </w:pPr>
      <w:r>
        <w:rPr>
          <w:rFonts w:hint="eastAsia" w:ascii="宋体" w:hAnsi="宋体"/>
          <w:color w:val="auto"/>
        </w:rPr>
        <w:t>1.1.4 本招标项目名称：见投标人须知前附表。</w:t>
      </w:r>
    </w:p>
    <w:p>
      <w:pPr>
        <w:spacing w:line="360" w:lineRule="auto"/>
        <w:ind w:firstLine="480" w:firstLineChars="200"/>
        <w:rPr>
          <w:rFonts w:ascii="宋体" w:hAnsi="宋体"/>
          <w:color w:val="auto"/>
        </w:rPr>
      </w:pPr>
      <w:r>
        <w:rPr>
          <w:rFonts w:hint="eastAsia" w:ascii="宋体" w:hAnsi="宋体"/>
          <w:color w:val="auto"/>
        </w:rPr>
        <w:t>1.1.5 本标段建设地点：见投标人须知前附表。</w:t>
      </w:r>
    </w:p>
    <w:p>
      <w:pPr>
        <w:spacing w:line="360" w:lineRule="auto"/>
        <w:rPr>
          <w:rFonts w:ascii="宋体" w:hAnsi="宋体"/>
          <w:color w:val="auto"/>
        </w:rPr>
      </w:pPr>
      <w:r>
        <w:rPr>
          <w:rFonts w:hint="eastAsia" w:ascii="宋体" w:hAnsi="宋体"/>
          <w:color w:val="auto"/>
        </w:rPr>
        <w:t>1.2 资金来源和落实情况</w:t>
      </w:r>
    </w:p>
    <w:p>
      <w:pPr>
        <w:spacing w:line="360" w:lineRule="auto"/>
        <w:ind w:firstLine="480" w:firstLineChars="200"/>
        <w:rPr>
          <w:rFonts w:ascii="宋体" w:hAnsi="宋体"/>
          <w:color w:val="auto"/>
        </w:rPr>
      </w:pPr>
      <w:r>
        <w:rPr>
          <w:rFonts w:hint="eastAsia" w:ascii="宋体" w:hAnsi="宋体"/>
          <w:color w:val="auto"/>
        </w:rPr>
        <w:t>1.2.1 本招标项目的资金来源：见投标人须知前附表。</w:t>
      </w:r>
    </w:p>
    <w:p>
      <w:pPr>
        <w:spacing w:line="360" w:lineRule="auto"/>
        <w:ind w:firstLine="480" w:firstLineChars="200"/>
        <w:rPr>
          <w:rFonts w:ascii="宋体" w:hAnsi="宋体"/>
          <w:color w:val="auto"/>
        </w:rPr>
      </w:pPr>
      <w:r>
        <w:rPr>
          <w:rFonts w:hint="eastAsia" w:ascii="宋体" w:hAnsi="宋体"/>
          <w:color w:val="auto"/>
        </w:rPr>
        <w:t>1.2.2 本招标项目的出资比例：见投标人须知前附表。</w:t>
      </w:r>
    </w:p>
    <w:p>
      <w:pPr>
        <w:spacing w:line="360" w:lineRule="auto"/>
        <w:ind w:firstLine="480" w:firstLineChars="200"/>
        <w:rPr>
          <w:rFonts w:ascii="宋体" w:hAnsi="宋体"/>
          <w:color w:val="auto"/>
        </w:rPr>
      </w:pPr>
      <w:r>
        <w:rPr>
          <w:rFonts w:hint="eastAsia" w:ascii="宋体" w:hAnsi="宋体"/>
          <w:color w:val="auto"/>
        </w:rPr>
        <w:t>1.2.3 本招标项目的资金落实情况：见投标人须知前附表。</w:t>
      </w:r>
    </w:p>
    <w:p>
      <w:pPr>
        <w:spacing w:line="360" w:lineRule="auto"/>
        <w:rPr>
          <w:rFonts w:ascii="宋体" w:hAnsi="宋体"/>
          <w:color w:val="auto"/>
        </w:rPr>
      </w:pPr>
      <w:r>
        <w:rPr>
          <w:rFonts w:hint="eastAsia" w:ascii="宋体" w:hAnsi="宋体"/>
          <w:color w:val="auto"/>
        </w:rPr>
        <w:t>1.3 招标范围、计划工期、质量和安全文明施工要求</w:t>
      </w:r>
    </w:p>
    <w:p>
      <w:pPr>
        <w:spacing w:line="360" w:lineRule="auto"/>
        <w:ind w:firstLine="480" w:firstLineChars="200"/>
        <w:rPr>
          <w:rFonts w:ascii="宋体" w:hAnsi="宋体"/>
          <w:color w:val="auto"/>
        </w:rPr>
      </w:pPr>
      <w:r>
        <w:rPr>
          <w:rFonts w:hint="eastAsia" w:ascii="宋体" w:hAnsi="宋体"/>
          <w:color w:val="auto"/>
        </w:rPr>
        <w:t>1.3.1 本次招标范围：见投标人须知前附表。</w:t>
      </w:r>
    </w:p>
    <w:p>
      <w:pPr>
        <w:spacing w:line="360" w:lineRule="auto"/>
        <w:ind w:firstLine="480" w:firstLineChars="200"/>
        <w:rPr>
          <w:rFonts w:ascii="宋体" w:hAnsi="宋体"/>
          <w:color w:val="auto"/>
        </w:rPr>
      </w:pPr>
      <w:r>
        <w:rPr>
          <w:rFonts w:hint="eastAsia" w:ascii="宋体" w:hAnsi="宋体"/>
          <w:color w:val="auto"/>
        </w:rPr>
        <w:t>1.3.2 本标段的计划工期：见投标人须知前附表。</w:t>
      </w:r>
    </w:p>
    <w:p>
      <w:pPr>
        <w:spacing w:line="360" w:lineRule="auto"/>
        <w:ind w:firstLine="480" w:firstLineChars="200"/>
        <w:rPr>
          <w:rFonts w:ascii="宋体" w:hAnsi="宋体"/>
          <w:color w:val="auto"/>
        </w:rPr>
      </w:pPr>
      <w:r>
        <w:rPr>
          <w:rFonts w:hint="eastAsia" w:ascii="宋体" w:hAnsi="宋体"/>
          <w:color w:val="auto"/>
        </w:rPr>
        <w:t>1.3.3 本标段的质量要求：见投标人须知前附表。</w:t>
      </w:r>
    </w:p>
    <w:p>
      <w:pPr>
        <w:spacing w:line="360" w:lineRule="auto"/>
        <w:ind w:firstLine="480" w:firstLineChars="200"/>
        <w:rPr>
          <w:rFonts w:ascii="宋体" w:hAnsi="宋体"/>
          <w:color w:val="auto"/>
        </w:rPr>
      </w:pPr>
      <w:r>
        <w:rPr>
          <w:rFonts w:hint="eastAsia" w:ascii="宋体" w:hAnsi="宋体"/>
          <w:color w:val="auto"/>
        </w:rPr>
        <w:t>1.3.4本标段的安全文明施工要求：见投标人须知前附表。</w:t>
      </w:r>
    </w:p>
    <w:p>
      <w:pPr>
        <w:spacing w:line="360" w:lineRule="auto"/>
        <w:rPr>
          <w:rFonts w:ascii="宋体" w:hAnsi="宋体"/>
          <w:color w:val="auto"/>
        </w:rPr>
      </w:pPr>
      <w:r>
        <w:rPr>
          <w:rFonts w:hint="eastAsia" w:ascii="宋体" w:hAnsi="宋体"/>
          <w:color w:val="auto"/>
        </w:rPr>
        <w:t>1.4 投标人资格要求</w:t>
      </w:r>
    </w:p>
    <w:p>
      <w:pPr>
        <w:spacing w:line="360" w:lineRule="auto"/>
        <w:ind w:firstLine="480" w:firstLineChars="200"/>
        <w:rPr>
          <w:rFonts w:ascii="宋体" w:hAnsi="宋体"/>
          <w:color w:val="auto"/>
        </w:rPr>
      </w:pPr>
      <w:r>
        <w:rPr>
          <w:rFonts w:hint="eastAsia" w:ascii="宋体" w:hAnsi="宋体"/>
          <w:color w:val="auto"/>
        </w:rPr>
        <w:t>1.4.1 投标人应具备承担本标段施工的资格条件。</w:t>
      </w:r>
    </w:p>
    <w:p>
      <w:pPr>
        <w:spacing w:line="360" w:lineRule="auto"/>
        <w:ind w:firstLine="480" w:firstLineChars="200"/>
        <w:rPr>
          <w:rFonts w:ascii="宋体" w:hAnsi="宋体"/>
          <w:color w:val="auto"/>
        </w:rPr>
      </w:pPr>
      <w:r>
        <w:rPr>
          <w:rFonts w:hint="eastAsia" w:ascii="宋体" w:hAnsi="宋体"/>
          <w:color w:val="auto"/>
        </w:rPr>
        <w:t>(l）资质条件：见投标人须知前附表；</w:t>
      </w:r>
    </w:p>
    <w:p>
      <w:pPr>
        <w:spacing w:line="360" w:lineRule="auto"/>
        <w:ind w:firstLine="480" w:firstLineChars="200"/>
        <w:rPr>
          <w:rFonts w:ascii="宋体" w:hAnsi="宋体"/>
          <w:color w:val="auto"/>
        </w:rPr>
      </w:pPr>
      <w:r>
        <w:rPr>
          <w:rFonts w:hint="eastAsia" w:ascii="宋体" w:hAnsi="宋体"/>
          <w:color w:val="auto"/>
        </w:rPr>
        <w:t xml:space="preserve"> (2）其他要求：见投标人须知前附表。</w:t>
      </w:r>
    </w:p>
    <w:p>
      <w:pPr>
        <w:spacing w:line="360" w:lineRule="auto"/>
        <w:ind w:firstLine="480" w:firstLineChars="200"/>
        <w:rPr>
          <w:rFonts w:ascii="宋体" w:hAnsi="宋体"/>
          <w:color w:val="auto"/>
        </w:rPr>
      </w:pPr>
      <w:r>
        <w:rPr>
          <w:rFonts w:hint="eastAsia" w:ascii="宋体" w:hAnsi="宋体"/>
          <w:color w:val="auto"/>
        </w:rPr>
        <w:t>1.4.2 投标人须知前附表规定接受联合体投标的，除应符合本章第1.4.1项和投标人须知前附表的要求外，还应遵守以下规定：</w:t>
      </w:r>
    </w:p>
    <w:p>
      <w:pPr>
        <w:spacing w:line="360" w:lineRule="auto"/>
        <w:ind w:firstLine="480" w:firstLineChars="200"/>
        <w:rPr>
          <w:rFonts w:ascii="宋体" w:hAnsi="宋体"/>
          <w:color w:val="auto"/>
        </w:rPr>
      </w:pPr>
      <w:r>
        <w:rPr>
          <w:rFonts w:hint="eastAsia" w:ascii="宋体" w:hAnsi="宋体"/>
          <w:color w:val="auto"/>
        </w:rPr>
        <w:t>(1）联合体各方应按招标文件提供的格式签订联合体协议书，明确联合体牵头人和各方权利义务；</w:t>
      </w:r>
    </w:p>
    <w:p>
      <w:pPr>
        <w:spacing w:line="360" w:lineRule="auto"/>
        <w:ind w:firstLine="480" w:firstLineChars="200"/>
        <w:rPr>
          <w:rFonts w:ascii="宋体" w:hAnsi="宋体"/>
          <w:color w:val="auto"/>
        </w:rPr>
      </w:pPr>
      <w:r>
        <w:rPr>
          <w:rFonts w:hint="eastAsia" w:ascii="宋体" w:hAnsi="宋体"/>
          <w:color w:val="auto"/>
        </w:rPr>
        <w:t>(2）由同一专业的单位组成的联合体，按照资质等级较低的单位确定资质等级；</w:t>
      </w:r>
    </w:p>
    <w:p>
      <w:pPr>
        <w:spacing w:line="360" w:lineRule="auto"/>
        <w:ind w:firstLine="480" w:firstLineChars="200"/>
        <w:rPr>
          <w:rFonts w:ascii="宋体" w:hAnsi="宋体"/>
          <w:color w:val="auto"/>
        </w:rPr>
      </w:pPr>
      <w:r>
        <w:rPr>
          <w:rFonts w:hint="eastAsia" w:ascii="宋体" w:hAnsi="宋体"/>
          <w:color w:val="auto"/>
        </w:rPr>
        <w:t>(3）联合体各方不得再以自己名义单独或参加其他联合体在同一标段中投标。</w:t>
      </w:r>
    </w:p>
    <w:p>
      <w:pPr>
        <w:spacing w:line="360" w:lineRule="auto"/>
        <w:ind w:firstLine="480" w:firstLineChars="200"/>
        <w:rPr>
          <w:rFonts w:ascii="宋体" w:hAnsi="宋体"/>
          <w:color w:val="auto"/>
        </w:rPr>
      </w:pPr>
      <w:r>
        <w:rPr>
          <w:rFonts w:hint="eastAsia" w:ascii="宋体" w:hAnsi="宋体"/>
          <w:color w:val="auto"/>
        </w:rPr>
        <w:t>1.4.3 投标人不得存在下列情形之一：</w:t>
      </w:r>
    </w:p>
    <w:p>
      <w:pPr>
        <w:spacing w:line="360" w:lineRule="auto"/>
        <w:ind w:firstLine="480" w:firstLineChars="200"/>
        <w:rPr>
          <w:rFonts w:ascii="宋体" w:hAnsi="宋体"/>
          <w:color w:val="auto"/>
        </w:rPr>
      </w:pPr>
      <w:r>
        <w:rPr>
          <w:rFonts w:hint="eastAsia" w:ascii="宋体" w:hAnsi="宋体"/>
          <w:color w:val="auto"/>
        </w:rPr>
        <w:t>(l）为招标人不具有独立法人资格的附属机构（单位）；</w:t>
      </w:r>
    </w:p>
    <w:p>
      <w:pPr>
        <w:spacing w:line="360" w:lineRule="auto"/>
        <w:ind w:firstLine="480" w:firstLineChars="200"/>
        <w:rPr>
          <w:rFonts w:ascii="宋体" w:hAnsi="宋体"/>
          <w:color w:val="auto"/>
        </w:rPr>
      </w:pPr>
      <w:r>
        <w:rPr>
          <w:rFonts w:hint="eastAsia" w:ascii="宋体" w:hAnsi="宋体"/>
          <w:color w:val="auto"/>
        </w:rPr>
        <w:t>(2）为本标段前期准备提供设计或咨询服务的；</w:t>
      </w:r>
    </w:p>
    <w:p>
      <w:pPr>
        <w:spacing w:line="360" w:lineRule="auto"/>
        <w:ind w:firstLine="480" w:firstLineChars="200"/>
        <w:rPr>
          <w:rFonts w:ascii="宋体" w:hAnsi="宋体"/>
          <w:color w:val="auto"/>
        </w:rPr>
      </w:pPr>
      <w:r>
        <w:rPr>
          <w:rFonts w:hint="eastAsia" w:ascii="宋体" w:hAnsi="宋体"/>
          <w:color w:val="auto"/>
        </w:rPr>
        <w:t>(3）为本标段的监理人；</w:t>
      </w:r>
    </w:p>
    <w:p>
      <w:pPr>
        <w:spacing w:line="360" w:lineRule="auto"/>
        <w:ind w:firstLine="480" w:firstLineChars="200"/>
        <w:rPr>
          <w:rFonts w:ascii="宋体" w:hAnsi="宋体"/>
          <w:color w:val="auto"/>
        </w:rPr>
      </w:pPr>
      <w:r>
        <w:rPr>
          <w:rFonts w:hint="eastAsia" w:ascii="宋体" w:hAnsi="宋体"/>
          <w:color w:val="auto"/>
        </w:rPr>
        <w:t>(4）为本标段的代建人；</w:t>
      </w:r>
    </w:p>
    <w:p>
      <w:pPr>
        <w:spacing w:line="360" w:lineRule="auto"/>
        <w:ind w:firstLine="480" w:firstLineChars="200"/>
        <w:rPr>
          <w:rFonts w:ascii="宋体" w:hAnsi="宋体"/>
          <w:color w:val="auto"/>
        </w:rPr>
      </w:pPr>
      <w:r>
        <w:rPr>
          <w:rFonts w:hint="eastAsia" w:ascii="宋体" w:hAnsi="宋体"/>
          <w:color w:val="auto"/>
        </w:rPr>
        <w:t>(5）为本标段提供招标代理服务的；</w:t>
      </w:r>
    </w:p>
    <w:p>
      <w:pPr>
        <w:spacing w:line="360" w:lineRule="auto"/>
        <w:ind w:firstLine="480" w:firstLineChars="200"/>
        <w:rPr>
          <w:rFonts w:ascii="宋体" w:hAnsi="宋体"/>
          <w:color w:val="auto"/>
        </w:rPr>
      </w:pPr>
      <w:r>
        <w:rPr>
          <w:rFonts w:hint="eastAsia" w:ascii="宋体" w:hAnsi="宋体"/>
          <w:color w:val="auto"/>
        </w:rPr>
        <w:t>(6）与本标段的监理人或代建人或招标代理机构同为一个法定代表人的；</w:t>
      </w:r>
    </w:p>
    <w:p>
      <w:pPr>
        <w:spacing w:line="360" w:lineRule="auto"/>
        <w:ind w:firstLine="480" w:firstLineChars="200"/>
        <w:rPr>
          <w:rFonts w:ascii="宋体" w:hAnsi="宋体"/>
          <w:color w:val="auto"/>
        </w:rPr>
      </w:pPr>
      <w:r>
        <w:rPr>
          <w:rFonts w:hint="eastAsia" w:ascii="宋体" w:hAnsi="宋体"/>
          <w:color w:val="auto"/>
        </w:rPr>
        <w:t>(7）与本标段的监理人或代建人或招标代理机构相互控股或参股的；</w:t>
      </w:r>
    </w:p>
    <w:p>
      <w:pPr>
        <w:spacing w:line="360" w:lineRule="auto"/>
        <w:ind w:firstLine="480" w:firstLineChars="200"/>
        <w:rPr>
          <w:rFonts w:ascii="宋体" w:hAnsi="宋体"/>
          <w:color w:val="auto"/>
        </w:rPr>
      </w:pPr>
      <w:r>
        <w:rPr>
          <w:rFonts w:hint="eastAsia" w:ascii="宋体" w:hAnsi="宋体"/>
          <w:color w:val="auto"/>
        </w:rPr>
        <w:t>(8）与本标段的监理人或代建人或招标代理机构相互任职或工作的；</w:t>
      </w:r>
    </w:p>
    <w:p>
      <w:pPr>
        <w:spacing w:line="360" w:lineRule="auto"/>
        <w:ind w:left="480" w:leftChars="200"/>
        <w:rPr>
          <w:rFonts w:ascii="宋体" w:hAnsi="宋体"/>
          <w:color w:val="auto"/>
        </w:rPr>
      </w:pPr>
      <w:r>
        <w:rPr>
          <w:rFonts w:hint="eastAsia" w:ascii="宋体" w:hAnsi="宋体"/>
          <w:color w:val="auto"/>
        </w:rPr>
        <w:t>(9）单位负责人与其他投标人为同一人或者存在控股、管理关系的；</w:t>
      </w:r>
      <w:r>
        <w:rPr>
          <w:rFonts w:hint="eastAsia" w:ascii="宋体" w:hAnsi="宋体"/>
          <w:color w:val="auto"/>
        </w:rPr>
        <w:br w:type="textWrapping"/>
      </w:r>
      <w:r>
        <w:rPr>
          <w:rFonts w:hint="eastAsia" w:ascii="宋体" w:hAnsi="宋体"/>
          <w:color w:val="auto"/>
        </w:rPr>
        <w:t>(10）处于被责令停业期内的；</w:t>
      </w:r>
    </w:p>
    <w:p>
      <w:pPr>
        <w:spacing w:line="360" w:lineRule="auto"/>
        <w:ind w:firstLine="480" w:firstLineChars="200"/>
        <w:rPr>
          <w:rFonts w:ascii="宋体" w:hAnsi="宋体"/>
          <w:color w:val="auto"/>
        </w:rPr>
      </w:pPr>
      <w:r>
        <w:rPr>
          <w:rFonts w:hint="eastAsia" w:ascii="宋体" w:hAnsi="宋体"/>
          <w:color w:val="auto"/>
        </w:rPr>
        <w:t>(11）处于被暂停或取消投标资格期内的；</w:t>
      </w:r>
    </w:p>
    <w:p>
      <w:pPr>
        <w:spacing w:line="360" w:lineRule="auto"/>
        <w:ind w:firstLine="480" w:firstLineChars="200"/>
        <w:rPr>
          <w:rFonts w:ascii="宋体" w:hAnsi="宋体"/>
          <w:color w:val="auto"/>
        </w:rPr>
      </w:pPr>
      <w:r>
        <w:rPr>
          <w:rFonts w:hint="eastAsia" w:ascii="宋体" w:hAnsi="宋体"/>
          <w:color w:val="auto"/>
        </w:rPr>
        <w:t>(12）处于财产被接管或冻结期内的。</w:t>
      </w:r>
    </w:p>
    <w:p>
      <w:pPr>
        <w:spacing w:line="360" w:lineRule="auto"/>
        <w:rPr>
          <w:rFonts w:ascii="宋体" w:hAnsi="宋体"/>
          <w:color w:val="auto"/>
        </w:rPr>
      </w:pPr>
      <w:r>
        <w:rPr>
          <w:rFonts w:hint="eastAsia" w:ascii="宋体" w:hAnsi="宋体"/>
          <w:color w:val="auto"/>
        </w:rPr>
        <w:t>1.5 费用承担</w:t>
      </w:r>
    </w:p>
    <w:p>
      <w:pPr>
        <w:spacing w:line="360" w:lineRule="auto"/>
        <w:ind w:firstLine="480" w:firstLineChars="200"/>
        <w:rPr>
          <w:rFonts w:ascii="宋体" w:hAnsi="宋体"/>
          <w:color w:val="auto"/>
        </w:rPr>
      </w:pPr>
      <w:r>
        <w:rPr>
          <w:rFonts w:hint="eastAsia" w:ascii="宋体" w:hAnsi="宋体"/>
          <w:color w:val="auto"/>
        </w:rPr>
        <w:t>投标人准备和参加投标活动发生的费用自理。</w:t>
      </w:r>
    </w:p>
    <w:p>
      <w:pPr>
        <w:spacing w:line="360" w:lineRule="auto"/>
        <w:rPr>
          <w:rFonts w:ascii="宋体" w:hAnsi="宋体"/>
          <w:color w:val="auto"/>
        </w:rPr>
      </w:pPr>
      <w:r>
        <w:rPr>
          <w:rFonts w:hint="eastAsia" w:ascii="宋体" w:hAnsi="宋体"/>
          <w:color w:val="auto"/>
        </w:rPr>
        <w:t>1.6 保密</w:t>
      </w:r>
    </w:p>
    <w:p>
      <w:pPr>
        <w:spacing w:line="360" w:lineRule="auto"/>
        <w:ind w:firstLine="480" w:firstLineChars="200"/>
        <w:rPr>
          <w:rFonts w:ascii="宋体" w:hAnsi="宋体"/>
          <w:color w:val="auto"/>
        </w:rPr>
      </w:pPr>
      <w:r>
        <w:rPr>
          <w:rFonts w:hint="eastAsia" w:ascii="宋体" w:hAnsi="宋体"/>
          <w:color w:val="auto"/>
        </w:rPr>
        <w:t>参与招标投标活动的各方应对招标文件和投标文件中的商业和技术等秘密保密，违者应对由此造成的后果承担法律责任。</w:t>
      </w:r>
    </w:p>
    <w:p>
      <w:pPr>
        <w:spacing w:line="360" w:lineRule="auto"/>
        <w:rPr>
          <w:rFonts w:ascii="宋体" w:hAnsi="宋体"/>
          <w:color w:val="auto"/>
        </w:rPr>
      </w:pPr>
      <w:r>
        <w:rPr>
          <w:rFonts w:hint="eastAsia" w:ascii="宋体" w:hAnsi="宋体"/>
          <w:color w:val="auto"/>
        </w:rPr>
        <w:t>1.7 语言文字</w:t>
      </w:r>
    </w:p>
    <w:p>
      <w:pPr>
        <w:spacing w:line="360" w:lineRule="auto"/>
        <w:ind w:firstLine="480" w:firstLineChars="200"/>
        <w:rPr>
          <w:rFonts w:ascii="宋体" w:hAnsi="宋体"/>
          <w:color w:val="auto"/>
        </w:rPr>
      </w:pPr>
      <w:r>
        <w:rPr>
          <w:rFonts w:hint="eastAsia" w:ascii="宋体" w:hAnsi="宋体"/>
          <w:color w:val="auto"/>
        </w:rPr>
        <w:t>除专用术语外，与招标投标有关的语言均使用中文。必要时专用术语应附有中文注释。</w:t>
      </w:r>
    </w:p>
    <w:p>
      <w:pPr>
        <w:spacing w:line="360" w:lineRule="auto"/>
        <w:rPr>
          <w:rFonts w:ascii="宋体" w:hAnsi="宋体"/>
          <w:color w:val="auto"/>
        </w:rPr>
      </w:pPr>
      <w:r>
        <w:rPr>
          <w:rFonts w:hint="eastAsia" w:ascii="宋体" w:hAnsi="宋体"/>
          <w:color w:val="auto"/>
        </w:rPr>
        <w:t>1.8 计量单位</w:t>
      </w:r>
    </w:p>
    <w:p>
      <w:pPr>
        <w:spacing w:line="360" w:lineRule="auto"/>
        <w:ind w:firstLine="480" w:firstLineChars="200"/>
        <w:rPr>
          <w:rFonts w:ascii="宋体" w:hAnsi="宋体"/>
          <w:color w:val="auto"/>
        </w:rPr>
      </w:pPr>
      <w:r>
        <w:rPr>
          <w:rFonts w:hint="eastAsia" w:ascii="宋体" w:hAnsi="宋体"/>
          <w:color w:val="auto"/>
        </w:rPr>
        <w:t>所有计量均采用中华人民共和国法定计量单位。</w:t>
      </w:r>
    </w:p>
    <w:p>
      <w:pPr>
        <w:spacing w:line="360" w:lineRule="auto"/>
        <w:rPr>
          <w:rFonts w:ascii="宋体" w:hAnsi="宋体"/>
          <w:color w:val="auto"/>
        </w:rPr>
      </w:pPr>
      <w:r>
        <w:rPr>
          <w:rFonts w:hint="eastAsia" w:ascii="宋体" w:hAnsi="宋体"/>
          <w:color w:val="auto"/>
        </w:rPr>
        <w:t>1.9踏勘现场</w:t>
      </w:r>
    </w:p>
    <w:p>
      <w:pPr>
        <w:spacing w:line="360" w:lineRule="auto"/>
        <w:ind w:firstLine="480" w:firstLineChars="200"/>
        <w:rPr>
          <w:rFonts w:ascii="宋体" w:hAnsi="宋体"/>
          <w:color w:val="auto"/>
        </w:rPr>
      </w:pPr>
      <w:r>
        <w:rPr>
          <w:rFonts w:hint="eastAsia" w:ascii="宋体" w:hAnsi="宋体"/>
          <w:color w:val="auto"/>
        </w:rPr>
        <w:t>1.9.1 一般情况下不集中踏勘现场，投标人须知前附表规定组织踏勘现场的，投标人按投标人须知前附表规定的时间、地点自行踏勘项目现场。</w:t>
      </w:r>
    </w:p>
    <w:p>
      <w:pPr>
        <w:spacing w:line="360" w:lineRule="auto"/>
        <w:ind w:firstLine="480" w:firstLineChars="200"/>
        <w:rPr>
          <w:rFonts w:ascii="宋体" w:hAnsi="宋体"/>
          <w:color w:val="auto"/>
        </w:rPr>
      </w:pPr>
      <w:r>
        <w:rPr>
          <w:rFonts w:hint="eastAsia" w:ascii="宋体" w:hAnsi="宋体"/>
          <w:color w:val="auto"/>
        </w:rPr>
        <w:t>1.9.2 投标人踏勘现场发生的费用自理。</w:t>
      </w:r>
    </w:p>
    <w:p>
      <w:pPr>
        <w:spacing w:line="360" w:lineRule="auto"/>
        <w:ind w:firstLine="480" w:firstLineChars="200"/>
        <w:rPr>
          <w:rFonts w:ascii="宋体" w:hAnsi="宋体"/>
          <w:color w:val="auto"/>
        </w:rPr>
      </w:pPr>
      <w:r>
        <w:rPr>
          <w:rFonts w:hint="eastAsia" w:ascii="宋体" w:hAnsi="宋体"/>
          <w:color w:val="auto"/>
        </w:rPr>
        <w:t>1.9.3 除招标人的原因外，投标人自行负责在踏勘现场中所发生的人员伤亡和财产损失。</w:t>
      </w:r>
    </w:p>
    <w:p>
      <w:pPr>
        <w:spacing w:line="360" w:lineRule="auto"/>
        <w:ind w:firstLine="480" w:firstLineChars="200"/>
        <w:rPr>
          <w:rFonts w:ascii="宋体" w:hAnsi="宋体"/>
          <w:color w:val="auto"/>
        </w:rPr>
      </w:pPr>
      <w:r>
        <w:rPr>
          <w:rFonts w:hint="eastAsia" w:ascii="宋体" w:hAnsi="宋体"/>
          <w:color w:val="auto"/>
        </w:rPr>
        <w:t>1.9.4 招标人在踏勘现场中介绍的工程场地和相关的周边环境情况，供投标人在编制投标文件时参考，招标人不对投标人据此作出的判断和决策负责。</w:t>
      </w:r>
    </w:p>
    <w:p>
      <w:pPr>
        <w:spacing w:line="360" w:lineRule="auto"/>
        <w:rPr>
          <w:rFonts w:ascii="宋体" w:hAnsi="宋体"/>
          <w:color w:val="auto"/>
        </w:rPr>
      </w:pPr>
      <w:r>
        <w:rPr>
          <w:rFonts w:hint="eastAsia" w:ascii="宋体" w:hAnsi="宋体"/>
          <w:color w:val="auto"/>
        </w:rPr>
        <w:t>1.10 招标答疑</w:t>
      </w:r>
    </w:p>
    <w:p>
      <w:pPr>
        <w:spacing w:line="360" w:lineRule="auto"/>
        <w:ind w:firstLine="360" w:firstLineChars="150"/>
        <w:rPr>
          <w:rFonts w:ascii="宋体" w:hAnsi="宋体"/>
          <w:color w:val="auto"/>
        </w:rPr>
      </w:pPr>
      <w:r>
        <w:rPr>
          <w:rFonts w:hint="eastAsia" w:ascii="宋体" w:hAnsi="宋体"/>
          <w:color w:val="auto"/>
        </w:rPr>
        <w:t>见投标人须知前附表。</w:t>
      </w:r>
    </w:p>
    <w:p>
      <w:pPr>
        <w:spacing w:line="360" w:lineRule="auto"/>
        <w:rPr>
          <w:rFonts w:ascii="宋体" w:hAnsi="宋体"/>
          <w:color w:val="auto"/>
        </w:rPr>
      </w:pPr>
      <w:r>
        <w:rPr>
          <w:rFonts w:hint="eastAsia" w:ascii="宋体" w:hAnsi="宋体"/>
          <w:color w:val="auto"/>
        </w:rPr>
        <w:t>1.11 分包</w:t>
      </w:r>
    </w:p>
    <w:p>
      <w:pPr>
        <w:spacing w:line="360" w:lineRule="auto"/>
        <w:rPr>
          <w:rFonts w:ascii="宋体" w:hAnsi="宋体"/>
          <w:color w:val="auto"/>
        </w:rPr>
      </w:pPr>
      <w:r>
        <w:rPr>
          <w:rFonts w:hint="eastAsia" w:ascii="宋体" w:hAnsi="宋体"/>
          <w:color w:val="auto"/>
        </w:rPr>
        <w:t>本项目不允许分包。</w:t>
      </w:r>
    </w:p>
    <w:p>
      <w:pPr>
        <w:spacing w:line="360" w:lineRule="auto"/>
        <w:rPr>
          <w:rFonts w:ascii="宋体" w:hAnsi="宋体"/>
          <w:color w:val="auto"/>
        </w:rPr>
      </w:pPr>
      <w:r>
        <w:rPr>
          <w:rFonts w:hint="eastAsia" w:ascii="宋体" w:hAnsi="宋体"/>
          <w:color w:val="auto"/>
        </w:rPr>
        <w:t>1.12 偏离</w:t>
      </w:r>
    </w:p>
    <w:p>
      <w:pPr>
        <w:spacing w:line="360" w:lineRule="auto"/>
        <w:rPr>
          <w:rFonts w:ascii="宋体" w:hAnsi="宋体"/>
          <w:color w:val="auto"/>
        </w:rPr>
      </w:pPr>
      <w:r>
        <w:rPr>
          <w:rFonts w:hint="eastAsia" w:ascii="宋体" w:hAnsi="宋体"/>
          <w:color w:val="auto"/>
        </w:rPr>
        <w:t>本项目不允许偏离。</w:t>
      </w:r>
    </w:p>
    <w:p>
      <w:pPr>
        <w:spacing w:line="360" w:lineRule="auto"/>
        <w:rPr>
          <w:rFonts w:ascii="宋体" w:hAnsi="宋体"/>
          <w:color w:val="auto"/>
        </w:rPr>
      </w:pPr>
      <w:bookmarkStart w:id="20" w:name="_Toc184635072"/>
      <w:bookmarkStart w:id="21" w:name="_Toc45126829"/>
      <w:r>
        <w:rPr>
          <w:rFonts w:hint="eastAsia" w:ascii="宋体" w:hAnsi="宋体"/>
          <w:color w:val="auto"/>
        </w:rPr>
        <w:t>2．招标文件</w:t>
      </w:r>
      <w:bookmarkEnd w:id="20"/>
      <w:bookmarkEnd w:id="21"/>
    </w:p>
    <w:p>
      <w:pPr>
        <w:spacing w:line="360" w:lineRule="auto"/>
        <w:rPr>
          <w:rFonts w:ascii="宋体" w:hAnsi="宋体"/>
          <w:color w:val="auto"/>
        </w:rPr>
      </w:pPr>
      <w:r>
        <w:rPr>
          <w:rFonts w:hint="eastAsia" w:ascii="宋体" w:hAnsi="宋体"/>
          <w:color w:val="auto"/>
        </w:rPr>
        <w:t>2.1 招标文件的组成</w:t>
      </w:r>
    </w:p>
    <w:p>
      <w:pPr>
        <w:spacing w:line="360" w:lineRule="auto"/>
        <w:rPr>
          <w:rFonts w:ascii="宋体" w:hAnsi="宋体"/>
          <w:color w:val="auto"/>
        </w:rPr>
      </w:pPr>
      <w:r>
        <w:rPr>
          <w:rFonts w:hint="eastAsia" w:ascii="宋体" w:hAnsi="宋体"/>
          <w:color w:val="auto"/>
        </w:rPr>
        <w:t>本招标文件包括：</w:t>
      </w:r>
    </w:p>
    <w:p>
      <w:pPr>
        <w:spacing w:line="360" w:lineRule="auto"/>
        <w:rPr>
          <w:rFonts w:ascii="宋体" w:hAnsi="宋体"/>
          <w:color w:val="auto"/>
        </w:rPr>
      </w:pPr>
      <w:r>
        <w:rPr>
          <w:rFonts w:hint="eastAsia" w:ascii="宋体" w:hAnsi="宋体"/>
          <w:color w:val="auto"/>
        </w:rPr>
        <w:t xml:space="preserve">(1）邀请招标公告； </w:t>
      </w:r>
    </w:p>
    <w:p>
      <w:pPr>
        <w:spacing w:line="360" w:lineRule="auto"/>
        <w:rPr>
          <w:rFonts w:ascii="宋体" w:hAnsi="宋体"/>
          <w:color w:val="auto"/>
        </w:rPr>
      </w:pPr>
      <w:r>
        <w:rPr>
          <w:rFonts w:hint="eastAsia" w:ascii="宋体" w:hAnsi="宋体"/>
          <w:color w:val="auto"/>
        </w:rPr>
        <w:t>(2）投标人须知；</w:t>
      </w:r>
    </w:p>
    <w:p>
      <w:pPr>
        <w:spacing w:line="360" w:lineRule="auto"/>
        <w:rPr>
          <w:rFonts w:ascii="宋体" w:hAnsi="宋体"/>
          <w:color w:val="auto"/>
        </w:rPr>
      </w:pPr>
      <w:r>
        <w:rPr>
          <w:rFonts w:hint="eastAsia" w:ascii="宋体" w:hAnsi="宋体"/>
          <w:color w:val="auto"/>
        </w:rPr>
        <w:t>(3）评标办法；</w:t>
      </w:r>
    </w:p>
    <w:p>
      <w:pPr>
        <w:spacing w:line="360" w:lineRule="auto"/>
        <w:rPr>
          <w:rFonts w:ascii="宋体" w:hAnsi="宋体"/>
          <w:color w:val="auto"/>
        </w:rPr>
      </w:pPr>
      <w:r>
        <w:rPr>
          <w:rFonts w:hint="eastAsia" w:ascii="宋体" w:hAnsi="宋体"/>
          <w:color w:val="auto"/>
        </w:rPr>
        <w:t>(4）合同条款及格式；</w:t>
      </w:r>
    </w:p>
    <w:p>
      <w:pPr>
        <w:spacing w:line="360" w:lineRule="auto"/>
        <w:rPr>
          <w:rFonts w:ascii="宋体" w:hAnsi="宋体"/>
          <w:color w:val="auto"/>
        </w:rPr>
      </w:pPr>
      <w:r>
        <w:rPr>
          <w:rFonts w:hint="eastAsia" w:ascii="宋体" w:hAnsi="宋体"/>
          <w:color w:val="auto"/>
        </w:rPr>
        <w:t>(5）工程量清单</w:t>
      </w:r>
    </w:p>
    <w:p>
      <w:pPr>
        <w:spacing w:line="360" w:lineRule="auto"/>
        <w:ind w:firstLine="480" w:firstLineChars="200"/>
        <w:rPr>
          <w:rFonts w:ascii="宋体" w:hAnsi="宋体"/>
          <w:color w:val="auto"/>
        </w:rPr>
      </w:pPr>
      <w:r>
        <w:rPr>
          <w:rFonts w:hint="eastAsia" w:ascii="宋体" w:hAnsi="宋体"/>
          <w:color w:val="auto"/>
        </w:rPr>
        <w:t>按第五章“工程量清单及工程量清单计价”的有关要求编制的工程量清单及招标控制价（或不限于招标控制价总价、招标控制价中的分部分项工程量清单计价合计、措施项目清单计价合计、其他项目清单计价合计、税金和规费合计以及投标控制价的上限</w:t>
      </w:r>
      <w:r>
        <w:rPr>
          <w:rFonts w:hint="eastAsia" w:ascii="宋体" w:hAnsi="宋体"/>
          <w:color w:val="auto"/>
          <w:szCs w:val="21"/>
        </w:rPr>
        <w:t>价</w:t>
      </w:r>
      <w:r>
        <w:rPr>
          <w:rFonts w:hint="eastAsia" w:ascii="宋体" w:hAnsi="宋体"/>
          <w:color w:val="auto"/>
        </w:rPr>
        <w:t>）；</w:t>
      </w:r>
    </w:p>
    <w:p>
      <w:pPr>
        <w:spacing w:line="360" w:lineRule="auto"/>
        <w:rPr>
          <w:rFonts w:ascii="宋体" w:hAnsi="宋体"/>
          <w:color w:val="auto"/>
        </w:rPr>
      </w:pPr>
      <w:r>
        <w:rPr>
          <w:rFonts w:hint="eastAsia" w:ascii="宋体" w:hAnsi="宋体"/>
          <w:color w:val="auto"/>
        </w:rPr>
        <w:t>(6）图纸（另附）；</w:t>
      </w:r>
    </w:p>
    <w:p>
      <w:pPr>
        <w:spacing w:line="360" w:lineRule="auto"/>
        <w:rPr>
          <w:rFonts w:ascii="宋体" w:hAnsi="宋体"/>
          <w:color w:val="auto"/>
        </w:rPr>
      </w:pPr>
      <w:r>
        <w:rPr>
          <w:rFonts w:hint="eastAsia" w:ascii="宋体" w:hAnsi="宋体"/>
          <w:color w:val="auto"/>
        </w:rPr>
        <w:t>(7）投标文件格式；</w:t>
      </w:r>
    </w:p>
    <w:p>
      <w:pPr>
        <w:spacing w:line="360" w:lineRule="auto"/>
        <w:rPr>
          <w:rFonts w:ascii="宋体" w:hAnsi="宋体"/>
          <w:color w:val="auto"/>
        </w:rPr>
      </w:pPr>
      <w:r>
        <w:rPr>
          <w:rFonts w:hint="eastAsia" w:ascii="宋体" w:hAnsi="宋体"/>
          <w:color w:val="auto"/>
        </w:rPr>
        <w:t>(8）投标人须知前附表规定的其他材料。</w:t>
      </w:r>
    </w:p>
    <w:p>
      <w:pPr>
        <w:spacing w:line="360" w:lineRule="auto"/>
        <w:rPr>
          <w:rFonts w:ascii="宋体" w:hAnsi="宋体"/>
          <w:color w:val="auto"/>
        </w:rPr>
      </w:pPr>
      <w:r>
        <w:rPr>
          <w:rFonts w:hint="eastAsia" w:ascii="宋体" w:hAnsi="宋体"/>
          <w:color w:val="auto"/>
        </w:rPr>
        <w:t>(9）需要补充的其他内容:</w:t>
      </w:r>
    </w:p>
    <w:p>
      <w:pPr>
        <w:spacing w:line="360" w:lineRule="auto"/>
        <w:ind w:firstLine="480" w:firstLineChars="200"/>
        <w:rPr>
          <w:rFonts w:ascii="宋体" w:hAnsi="宋体"/>
          <w:color w:val="auto"/>
        </w:rPr>
      </w:pPr>
      <w:r>
        <w:rPr>
          <w:rFonts w:hint="eastAsia" w:ascii="宋体" w:hAnsi="宋体"/>
          <w:color w:val="auto"/>
        </w:rPr>
        <w:t>否决性条款、投标控制价上限</w:t>
      </w:r>
      <w:r>
        <w:rPr>
          <w:rFonts w:hint="eastAsia" w:ascii="宋体" w:hAnsi="宋体"/>
          <w:color w:val="auto"/>
          <w:szCs w:val="21"/>
        </w:rPr>
        <w:t>价</w:t>
      </w:r>
      <w:r>
        <w:rPr>
          <w:rFonts w:hint="eastAsia" w:ascii="宋体" w:hAnsi="宋体"/>
          <w:color w:val="auto"/>
        </w:rPr>
        <w:t>、</w:t>
      </w:r>
      <w:r>
        <w:rPr>
          <w:rFonts w:hint="eastAsia" w:ascii="宋体" w:hAnsi="宋体"/>
          <w:color w:val="auto"/>
          <w:szCs w:val="21"/>
        </w:rPr>
        <w:t>绿色施工安全防护措施费</w:t>
      </w:r>
      <w:r>
        <w:rPr>
          <w:rFonts w:hint="eastAsia" w:ascii="宋体" w:hAnsi="宋体"/>
          <w:color w:val="auto"/>
        </w:rPr>
        <w:t>。</w:t>
      </w:r>
    </w:p>
    <w:p>
      <w:pPr>
        <w:spacing w:line="360" w:lineRule="auto"/>
        <w:ind w:firstLine="480" w:firstLineChars="200"/>
        <w:rPr>
          <w:rFonts w:ascii="宋体" w:hAnsi="宋体"/>
          <w:color w:val="auto"/>
        </w:rPr>
      </w:pPr>
      <w:r>
        <w:rPr>
          <w:rFonts w:hint="eastAsia" w:ascii="宋体" w:hAnsi="宋体"/>
          <w:color w:val="auto"/>
        </w:rPr>
        <w:t>根据本章第1.10 款、第2.2 款和第2.3 款对招标文件所作的澄清、修改，构成招标文件的组成部分。</w:t>
      </w:r>
    </w:p>
    <w:p>
      <w:pPr>
        <w:spacing w:line="360" w:lineRule="auto"/>
        <w:rPr>
          <w:rFonts w:ascii="宋体" w:hAnsi="宋体"/>
          <w:color w:val="auto"/>
        </w:rPr>
      </w:pPr>
      <w:r>
        <w:rPr>
          <w:rFonts w:hint="eastAsia" w:ascii="宋体" w:hAnsi="宋体"/>
          <w:color w:val="auto"/>
        </w:rPr>
        <w:t>2.2 招标文件的澄清</w:t>
      </w:r>
    </w:p>
    <w:p>
      <w:pPr>
        <w:spacing w:line="360" w:lineRule="auto"/>
        <w:rPr>
          <w:rFonts w:ascii="宋体" w:hAnsi="宋体"/>
          <w:color w:val="auto"/>
        </w:rPr>
      </w:pPr>
      <w:r>
        <w:rPr>
          <w:rFonts w:hint="eastAsia" w:ascii="宋体" w:hAnsi="宋体"/>
          <w:color w:val="auto"/>
        </w:rPr>
        <w:t>2.2.1投标人应仔细阅读和检查招标文件的全部内容。如发现缺页或附件不全，应及时向招标人提出，以便补齐。如有疑问，应以邮件或书面形式要求招标人对招标文件予以澄清。</w:t>
      </w:r>
    </w:p>
    <w:p>
      <w:pPr>
        <w:spacing w:line="360" w:lineRule="auto"/>
        <w:rPr>
          <w:rFonts w:ascii="宋体" w:hAnsi="宋体"/>
          <w:color w:val="auto"/>
        </w:rPr>
      </w:pPr>
      <w:r>
        <w:rPr>
          <w:rFonts w:hint="eastAsia" w:ascii="宋体" w:hAnsi="宋体"/>
          <w:color w:val="auto"/>
        </w:rPr>
        <w:t>2.2.2 招标文件的澄清的内容可能影响投标文件编制的，将在投标人须知前附表规定的投标截止时间15天前在发给所有投标人，但不指明澄清问题的来源。</w:t>
      </w:r>
    </w:p>
    <w:p>
      <w:pPr>
        <w:spacing w:line="360" w:lineRule="auto"/>
        <w:rPr>
          <w:rFonts w:ascii="宋体" w:hAnsi="宋体"/>
          <w:color w:val="auto"/>
        </w:rPr>
      </w:pPr>
      <w:r>
        <w:rPr>
          <w:rFonts w:hint="eastAsia" w:ascii="宋体" w:hAnsi="宋体"/>
          <w:color w:val="auto"/>
        </w:rPr>
        <w:t>2.2.3投标人因自身原因未能获取答疑资料造成的后果，由投标人自行承担。</w:t>
      </w:r>
    </w:p>
    <w:p>
      <w:pPr>
        <w:spacing w:line="360" w:lineRule="auto"/>
        <w:rPr>
          <w:rFonts w:ascii="宋体" w:hAnsi="宋体"/>
          <w:color w:val="auto"/>
        </w:rPr>
      </w:pPr>
      <w:r>
        <w:rPr>
          <w:rFonts w:hint="eastAsia" w:ascii="宋体" w:hAnsi="宋体"/>
          <w:color w:val="auto"/>
        </w:rPr>
        <w:t>2.3 招标文件的修改</w:t>
      </w:r>
    </w:p>
    <w:p>
      <w:pPr>
        <w:spacing w:line="360" w:lineRule="auto"/>
        <w:rPr>
          <w:rFonts w:ascii="宋体" w:hAnsi="宋体"/>
          <w:color w:val="auto"/>
        </w:rPr>
      </w:pPr>
      <w:r>
        <w:rPr>
          <w:rFonts w:hint="eastAsia" w:ascii="宋体" w:hAnsi="宋体"/>
          <w:color w:val="auto"/>
        </w:rPr>
        <w:t>2.3.1 投标人因自身原因未能获取答疑资料造成的后果，由投标人自行承担。</w:t>
      </w:r>
    </w:p>
    <w:p>
      <w:pPr>
        <w:spacing w:line="360" w:lineRule="auto"/>
        <w:rPr>
          <w:rFonts w:ascii="宋体" w:hAnsi="宋体"/>
          <w:b/>
          <w:color w:val="auto"/>
        </w:rPr>
      </w:pPr>
      <w:bookmarkStart w:id="22" w:name="_Toc184635073"/>
      <w:bookmarkStart w:id="23" w:name="_Toc45126830"/>
      <w:r>
        <w:rPr>
          <w:rFonts w:hint="eastAsia" w:ascii="宋体" w:hAnsi="宋体"/>
          <w:b/>
          <w:color w:val="auto"/>
        </w:rPr>
        <w:t>3．投标文件</w:t>
      </w:r>
      <w:bookmarkEnd w:id="22"/>
      <w:bookmarkEnd w:id="23"/>
    </w:p>
    <w:p>
      <w:pPr>
        <w:spacing w:line="360" w:lineRule="auto"/>
        <w:rPr>
          <w:rFonts w:ascii="宋体" w:hAnsi="宋体"/>
          <w:b/>
          <w:color w:val="auto"/>
        </w:rPr>
      </w:pPr>
      <w:r>
        <w:rPr>
          <w:rFonts w:hint="eastAsia" w:ascii="宋体" w:hAnsi="宋体"/>
          <w:b/>
          <w:color w:val="auto"/>
        </w:rPr>
        <w:t>3.1 投标文件的组成及编制</w:t>
      </w:r>
    </w:p>
    <w:p>
      <w:pPr>
        <w:widowControl w:val="0"/>
        <w:tabs>
          <w:tab w:val="left" w:pos="0"/>
        </w:tabs>
        <w:spacing w:line="360" w:lineRule="auto"/>
        <w:rPr>
          <w:rFonts w:ascii="宋体" w:hAnsi="宋体"/>
          <w:color w:val="auto"/>
        </w:rPr>
      </w:pPr>
      <w:r>
        <w:rPr>
          <w:rFonts w:hint="eastAsia" w:ascii="宋体" w:hAnsi="宋体"/>
          <w:b/>
          <w:color w:val="auto"/>
        </w:rPr>
        <w:t>3.1.1投标文件</w:t>
      </w:r>
    </w:p>
    <w:p>
      <w:pPr>
        <w:widowControl w:val="0"/>
        <w:numPr>
          <w:ilvl w:val="0"/>
          <w:numId w:val="3"/>
        </w:numPr>
        <w:tabs>
          <w:tab w:val="left" w:pos="540"/>
        </w:tabs>
        <w:kinsoku/>
        <w:wordWrap/>
        <w:overflowPunct/>
        <w:topLinePunct w:val="0"/>
        <w:bidi w:val="0"/>
        <w:spacing w:line="360" w:lineRule="auto"/>
        <w:ind w:left="425" w:leftChars="0" w:hanging="425" w:firstLineChars="0"/>
        <w:textAlignment w:val="auto"/>
        <w:rPr>
          <w:rFonts w:hint="eastAsia" w:ascii="宋体" w:hAnsi="宋体"/>
          <w:color w:val="auto"/>
        </w:rPr>
      </w:pPr>
      <w:r>
        <w:rPr>
          <w:rFonts w:hint="eastAsia" w:ascii="宋体" w:hAnsi="宋体"/>
          <w:b/>
          <w:color w:val="auto"/>
        </w:rPr>
        <w:t xml:space="preserve"> 基本资料（一式</w:t>
      </w:r>
      <w:r>
        <w:rPr>
          <w:rFonts w:hint="eastAsia" w:ascii="宋体" w:hAnsi="宋体"/>
          <w:b/>
          <w:color w:val="auto"/>
          <w:lang w:eastAsia="zh-CN"/>
        </w:rPr>
        <w:t>四</w:t>
      </w:r>
      <w:r>
        <w:rPr>
          <w:rFonts w:hint="eastAsia" w:ascii="宋体" w:hAnsi="宋体"/>
          <w:b/>
          <w:color w:val="auto"/>
        </w:rPr>
        <w:t>份，其中正本一份，副本</w:t>
      </w:r>
      <w:r>
        <w:rPr>
          <w:rFonts w:hint="eastAsia" w:ascii="宋体" w:hAnsi="宋体"/>
          <w:b/>
          <w:color w:val="auto"/>
          <w:lang w:eastAsia="zh-CN"/>
        </w:rPr>
        <w:t>三</w:t>
      </w:r>
      <w:r>
        <w:rPr>
          <w:rFonts w:hint="eastAsia" w:ascii="宋体" w:hAnsi="宋体"/>
          <w:b/>
          <w:color w:val="auto"/>
        </w:rPr>
        <w:t>份，密封在同一个文件袋中）</w:t>
      </w:r>
    </w:p>
    <w:p>
      <w:pPr>
        <w:widowControl w:val="0"/>
        <w:tabs>
          <w:tab w:val="left" w:pos="540"/>
        </w:tabs>
        <w:kinsoku/>
        <w:wordWrap/>
        <w:overflowPunct/>
        <w:topLinePunct w:val="0"/>
        <w:bidi w:val="0"/>
        <w:spacing w:line="360" w:lineRule="auto"/>
        <w:ind w:firstLine="540" w:firstLineChars="225"/>
        <w:textAlignment w:val="auto"/>
        <w:rPr>
          <w:rFonts w:hint="eastAsia" w:ascii="宋体" w:hAnsi="宋体"/>
          <w:color w:val="auto"/>
        </w:rPr>
      </w:pPr>
      <w:r>
        <w:rPr>
          <w:rFonts w:hint="eastAsia" w:ascii="宋体" w:hAnsi="宋体"/>
          <w:color w:val="auto"/>
        </w:rPr>
        <w:t>文本封面：[封面列出：工程名称、“基本资料”字样、投标单位名称（加盖公章由法定代表人或委托代理人签名）。装订成A4本，封面上标明“正本”或“副本”字样。]</w:t>
      </w:r>
    </w:p>
    <w:p>
      <w:pPr>
        <w:numPr>
          <w:ilvl w:val="0"/>
          <w:numId w:val="4"/>
        </w:numPr>
        <w:kinsoku/>
        <w:wordWrap/>
        <w:overflowPunct/>
        <w:topLinePunct w:val="0"/>
        <w:bidi w:val="0"/>
        <w:spacing w:line="360" w:lineRule="auto"/>
        <w:ind w:left="960" w:leftChars="0" w:hanging="420" w:firstLineChars="0"/>
        <w:textAlignment w:val="auto"/>
        <w:rPr>
          <w:rFonts w:hint="eastAsia" w:ascii="宋体" w:hAnsi="宋体"/>
          <w:color w:val="auto"/>
          <w:szCs w:val="21"/>
        </w:rPr>
      </w:pPr>
      <w:r>
        <w:rPr>
          <w:rFonts w:hint="eastAsia" w:ascii="宋体" w:hAnsi="宋体"/>
          <w:color w:val="auto"/>
          <w:szCs w:val="21"/>
        </w:rPr>
        <w:t>承诺书</w:t>
      </w:r>
    </w:p>
    <w:p>
      <w:pPr>
        <w:numPr>
          <w:ilvl w:val="0"/>
          <w:numId w:val="4"/>
        </w:numPr>
        <w:kinsoku/>
        <w:wordWrap/>
        <w:overflowPunct/>
        <w:topLinePunct w:val="0"/>
        <w:bidi w:val="0"/>
        <w:spacing w:line="360" w:lineRule="auto"/>
        <w:ind w:left="960" w:leftChars="0" w:hanging="420" w:firstLineChars="0"/>
        <w:textAlignment w:val="auto"/>
        <w:rPr>
          <w:rFonts w:hint="eastAsia" w:ascii="宋体" w:hAnsi="宋体"/>
          <w:color w:val="auto"/>
          <w:szCs w:val="21"/>
        </w:rPr>
      </w:pPr>
      <w:r>
        <w:rPr>
          <w:rFonts w:hint="eastAsia" w:ascii="宋体" w:hAnsi="宋体"/>
          <w:color w:val="auto"/>
          <w:szCs w:val="21"/>
          <w:lang w:eastAsia="zh-CN"/>
        </w:rPr>
        <w:t>法定代表人证明书</w:t>
      </w:r>
    </w:p>
    <w:p>
      <w:pPr>
        <w:numPr>
          <w:ilvl w:val="0"/>
          <w:numId w:val="4"/>
        </w:numPr>
        <w:kinsoku/>
        <w:wordWrap/>
        <w:overflowPunct/>
        <w:topLinePunct w:val="0"/>
        <w:bidi w:val="0"/>
        <w:spacing w:line="360" w:lineRule="auto"/>
        <w:ind w:left="960" w:leftChars="0" w:hanging="420" w:firstLineChars="0"/>
        <w:textAlignment w:val="auto"/>
        <w:rPr>
          <w:rFonts w:hint="eastAsia" w:ascii="宋体" w:hAnsi="宋体"/>
          <w:color w:val="auto"/>
          <w:szCs w:val="21"/>
        </w:rPr>
      </w:pPr>
      <w:r>
        <w:rPr>
          <w:rFonts w:hint="eastAsia" w:ascii="宋体" w:hAnsi="宋体"/>
          <w:color w:val="auto"/>
          <w:szCs w:val="21"/>
          <w:lang w:eastAsia="zh-CN"/>
        </w:rPr>
        <w:t>法定代表人授权委托书</w:t>
      </w:r>
    </w:p>
    <w:p>
      <w:pPr>
        <w:numPr>
          <w:ilvl w:val="0"/>
          <w:numId w:val="4"/>
        </w:numPr>
        <w:kinsoku/>
        <w:wordWrap/>
        <w:overflowPunct/>
        <w:topLinePunct w:val="0"/>
        <w:bidi w:val="0"/>
        <w:spacing w:line="360" w:lineRule="auto"/>
        <w:ind w:left="960" w:leftChars="0" w:hanging="420" w:firstLineChars="0"/>
        <w:textAlignment w:val="auto"/>
        <w:rPr>
          <w:rFonts w:hint="eastAsia" w:ascii="宋体" w:hAnsi="宋体"/>
          <w:color w:val="auto"/>
          <w:szCs w:val="21"/>
        </w:rPr>
      </w:pPr>
      <w:r>
        <w:rPr>
          <w:rFonts w:hint="eastAsia" w:ascii="宋体" w:hAnsi="宋体"/>
          <w:color w:val="auto"/>
          <w:szCs w:val="21"/>
          <w:lang w:eastAsia="zh-CN"/>
        </w:rPr>
        <w:t>企业法人营业执照</w:t>
      </w:r>
    </w:p>
    <w:p>
      <w:pPr>
        <w:numPr>
          <w:ilvl w:val="0"/>
          <w:numId w:val="4"/>
        </w:numPr>
        <w:kinsoku/>
        <w:wordWrap/>
        <w:overflowPunct/>
        <w:topLinePunct w:val="0"/>
        <w:bidi w:val="0"/>
        <w:spacing w:line="360" w:lineRule="auto"/>
        <w:ind w:left="960" w:leftChars="0" w:hanging="420" w:firstLineChars="0"/>
        <w:textAlignment w:val="auto"/>
        <w:rPr>
          <w:rFonts w:hint="eastAsia" w:ascii="宋体" w:hAnsi="宋体"/>
          <w:color w:val="auto"/>
          <w:szCs w:val="21"/>
        </w:rPr>
      </w:pPr>
      <w:r>
        <w:rPr>
          <w:rFonts w:hint="eastAsia" w:ascii="宋体" w:hAnsi="宋体"/>
          <w:color w:val="auto"/>
          <w:szCs w:val="21"/>
          <w:lang w:eastAsia="zh-CN"/>
        </w:rPr>
        <w:t>资质证书（如有）</w:t>
      </w:r>
    </w:p>
    <w:p>
      <w:pPr>
        <w:numPr>
          <w:ilvl w:val="0"/>
          <w:numId w:val="4"/>
        </w:numPr>
        <w:kinsoku/>
        <w:wordWrap/>
        <w:overflowPunct/>
        <w:topLinePunct w:val="0"/>
        <w:bidi w:val="0"/>
        <w:spacing w:line="360" w:lineRule="auto"/>
        <w:ind w:left="960" w:leftChars="0" w:hanging="420" w:firstLineChars="0"/>
        <w:textAlignment w:val="auto"/>
        <w:rPr>
          <w:rFonts w:hint="eastAsia" w:ascii="宋体" w:hAnsi="宋体"/>
          <w:color w:val="auto"/>
          <w:szCs w:val="21"/>
        </w:rPr>
      </w:pPr>
      <w:r>
        <w:rPr>
          <w:rFonts w:hint="eastAsia" w:ascii="宋体" w:hAnsi="宋体"/>
          <w:color w:val="auto"/>
          <w:szCs w:val="21"/>
          <w:lang w:eastAsia="zh-CN"/>
        </w:rPr>
        <w:t>安全生产许可证（如有）</w:t>
      </w:r>
    </w:p>
    <w:p>
      <w:pPr>
        <w:widowControl w:val="0"/>
        <w:tabs>
          <w:tab w:val="left" w:pos="540"/>
        </w:tabs>
        <w:kinsoku/>
        <w:wordWrap/>
        <w:overflowPunct/>
        <w:topLinePunct w:val="0"/>
        <w:bidi w:val="0"/>
        <w:spacing w:line="360" w:lineRule="auto"/>
        <w:ind w:firstLine="569" w:firstLineChars="236"/>
        <w:textAlignment w:val="auto"/>
        <w:rPr>
          <w:rFonts w:hint="eastAsia" w:ascii="宋体" w:hAnsi="宋体"/>
          <w:b/>
          <w:color w:val="auto"/>
        </w:rPr>
      </w:pPr>
      <w:r>
        <w:rPr>
          <w:rFonts w:hint="eastAsia" w:ascii="宋体" w:hAnsi="宋体"/>
          <w:b/>
          <w:color w:val="auto"/>
        </w:rPr>
        <w:t>注：以上资料</w:t>
      </w:r>
      <w:r>
        <w:rPr>
          <w:rFonts w:hint="eastAsia" w:ascii="宋体" w:hAnsi="宋体"/>
          <w:b/>
          <w:color w:val="auto"/>
          <w:lang w:eastAsia="zh-CN"/>
        </w:rPr>
        <w:t>正本</w:t>
      </w:r>
      <w:r>
        <w:rPr>
          <w:rFonts w:hint="eastAsia" w:ascii="宋体" w:hAnsi="宋体"/>
          <w:b/>
          <w:color w:val="auto"/>
        </w:rPr>
        <w:t>需全部加盖投标单位公章</w:t>
      </w:r>
      <w:r>
        <w:rPr>
          <w:rFonts w:hint="eastAsia" w:ascii="宋体" w:hAnsi="宋体"/>
          <w:b/>
          <w:color w:val="auto"/>
          <w:lang w:eastAsia="zh-CN"/>
        </w:rPr>
        <w:t>，副本可用</w:t>
      </w:r>
      <w:r>
        <w:rPr>
          <w:rFonts w:hint="eastAsia" w:ascii="宋体" w:hAnsi="宋体"/>
          <w:b/>
          <w:color w:val="auto"/>
        </w:rPr>
        <w:t>已按招标文件要求加盖单位公章并由法定代表人（或委托代理人）签字/印鉴的基本资料正本</w:t>
      </w:r>
      <w:r>
        <w:rPr>
          <w:rFonts w:hint="eastAsia" w:ascii="宋体" w:hAnsi="宋体"/>
          <w:b/>
          <w:color w:val="auto"/>
          <w:lang w:eastAsia="zh-CN"/>
        </w:rPr>
        <w:t>复印件并加盖骑缝章</w:t>
      </w:r>
      <w:r>
        <w:rPr>
          <w:rFonts w:hint="eastAsia" w:ascii="宋体" w:hAnsi="宋体"/>
          <w:b/>
          <w:color w:val="auto"/>
        </w:rPr>
        <w:t>。</w:t>
      </w:r>
    </w:p>
    <w:p>
      <w:pPr>
        <w:widowControl w:val="0"/>
        <w:numPr>
          <w:ilvl w:val="0"/>
          <w:numId w:val="3"/>
        </w:numPr>
        <w:tabs>
          <w:tab w:val="left" w:pos="540"/>
        </w:tabs>
        <w:kinsoku/>
        <w:wordWrap/>
        <w:overflowPunct/>
        <w:topLinePunct w:val="0"/>
        <w:bidi w:val="0"/>
        <w:spacing w:line="360" w:lineRule="auto"/>
        <w:ind w:left="425" w:leftChars="0" w:hanging="425" w:firstLineChars="0"/>
        <w:textAlignment w:val="auto"/>
        <w:rPr>
          <w:rFonts w:hint="eastAsia" w:ascii="宋体" w:hAnsi="宋体"/>
          <w:b/>
          <w:color w:val="auto"/>
        </w:rPr>
      </w:pPr>
      <w:r>
        <w:rPr>
          <w:rFonts w:hint="eastAsia" w:ascii="宋体" w:hAnsi="宋体"/>
          <w:b/>
          <w:color w:val="auto"/>
        </w:rPr>
        <w:t>经济标函（一式</w:t>
      </w:r>
      <w:r>
        <w:rPr>
          <w:rFonts w:hint="eastAsia" w:ascii="宋体" w:hAnsi="宋体"/>
          <w:b/>
          <w:color w:val="auto"/>
          <w:lang w:eastAsia="zh-CN"/>
        </w:rPr>
        <w:t>四</w:t>
      </w:r>
      <w:r>
        <w:rPr>
          <w:rFonts w:hint="eastAsia" w:ascii="宋体" w:hAnsi="宋体"/>
          <w:b/>
          <w:color w:val="auto"/>
        </w:rPr>
        <w:t>份，其中正本一份，副本</w:t>
      </w:r>
      <w:r>
        <w:rPr>
          <w:rFonts w:hint="eastAsia" w:ascii="宋体" w:hAnsi="宋体"/>
          <w:b/>
          <w:color w:val="auto"/>
          <w:lang w:eastAsia="zh-CN"/>
        </w:rPr>
        <w:t>三</w:t>
      </w:r>
      <w:r>
        <w:rPr>
          <w:rFonts w:hint="eastAsia" w:ascii="宋体" w:hAnsi="宋体"/>
          <w:b/>
          <w:color w:val="auto"/>
        </w:rPr>
        <w:t>份，密封在同一个文件袋中）</w:t>
      </w:r>
    </w:p>
    <w:p>
      <w:pPr>
        <w:widowControl w:val="0"/>
        <w:tabs>
          <w:tab w:val="left" w:pos="540"/>
        </w:tabs>
        <w:kinsoku/>
        <w:wordWrap/>
        <w:overflowPunct/>
        <w:topLinePunct w:val="0"/>
        <w:bidi w:val="0"/>
        <w:spacing w:line="360" w:lineRule="auto"/>
        <w:ind w:firstLine="366" w:firstLineChars="152"/>
        <w:textAlignment w:val="auto"/>
        <w:rPr>
          <w:rFonts w:hint="eastAsia" w:ascii="宋体" w:hAnsi="宋体"/>
          <w:color w:val="auto"/>
        </w:rPr>
      </w:pPr>
      <w:r>
        <w:rPr>
          <w:rFonts w:hint="eastAsia" w:ascii="宋体" w:hAnsi="宋体"/>
          <w:b/>
          <w:color w:val="auto"/>
        </w:rPr>
        <w:t xml:space="preserve"> </w:t>
      </w:r>
      <w:r>
        <w:rPr>
          <w:rFonts w:hint="eastAsia" w:ascii="宋体" w:hAnsi="宋体"/>
          <w:color w:val="auto"/>
        </w:rPr>
        <w:t>经济标函文本封面上必须注明：工程名称、“经济标函”字样、投标单位名称（密封袋封面及密封袋口处均需加盖公章并由法定代表人或委托代理人签名，并在文本封面上注明“正本”或“副本”字样）</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720" w:leftChars="0" w:hanging="420" w:firstLineChars="0"/>
        <w:jc w:val="left"/>
        <w:textAlignment w:val="auto"/>
        <w:rPr>
          <w:rFonts w:ascii="宋体" w:hAnsi="宋体" w:cs="宋体"/>
          <w:color w:val="auto"/>
          <w:kern w:val="0"/>
          <w:sz w:val="24"/>
        </w:rPr>
      </w:pPr>
      <w:r>
        <w:rPr>
          <w:rFonts w:hint="eastAsia" w:ascii="宋体" w:hAnsi="宋体" w:cs="宋体"/>
          <w:color w:val="auto"/>
          <w:kern w:val="0"/>
          <w:sz w:val="24"/>
        </w:rPr>
        <w:t>封面；</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720" w:leftChars="0" w:hanging="420" w:firstLineChars="0"/>
        <w:jc w:val="left"/>
        <w:textAlignment w:val="auto"/>
        <w:rPr>
          <w:rFonts w:ascii="宋体" w:hAnsi="宋体" w:cs="宋体"/>
          <w:color w:val="auto"/>
          <w:kern w:val="0"/>
          <w:sz w:val="24"/>
        </w:rPr>
      </w:pPr>
      <w:r>
        <w:rPr>
          <w:rFonts w:hint="eastAsia" w:ascii="宋体" w:hAnsi="宋体" w:cs="宋体"/>
          <w:color w:val="auto"/>
          <w:kern w:val="0"/>
          <w:sz w:val="24"/>
        </w:rPr>
        <w:t>投标</w:t>
      </w:r>
      <w:r>
        <w:rPr>
          <w:rFonts w:hint="eastAsia" w:ascii="宋体" w:hAnsi="宋体" w:cs="宋体"/>
          <w:color w:val="auto"/>
          <w:kern w:val="0"/>
          <w:sz w:val="24"/>
          <w:lang w:eastAsia="zh-CN"/>
        </w:rPr>
        <w:t>报价</w:t>
      </w:r>
      <w:r>
        <w:rPr>
          <w:rFonts w:hint="eastAsia" w:ascii="宋体" w:hAnsi="宋体" w:cs="宋体"/>
          <w:color w:val="auto"/>
          <w:kern w:val="0"/>
          <w:sz w:val="24"/>
        </w:rPr>
        <w:t>表；</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720" w:leftChars="0" w:hanging="420" w:firstLineChars="0"/>
        <w:jc w:val="left"/>
        <w:textAlignment w:val="auto"/>
        <w:rPr>
          <w:rFonts w:ascii="宋体" w:hAnsi="宋体" w:cs="宋体"/>
          <w:color w:val="auto"/>
          <w:kern w:val="0"/>
          <w:sz w:val="24"/>
        </w:rPr>
      </w:pPr>
      <w:r>
        <w:rPr>
          <w:rFonts w:hint="eastAsia" w:ascii="宋体" w:hAnsi="宋体" w:cs="宋体"/>
          <w:color w:val="auto"/>
          <w:kern w:val="0"/>
          <w:sz w:val="24"/>
        </w:rPr>
        <w:t>单位工程投标价汇总表；</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720" w:leftChars="0" w:hanging="420" w:firstLineChars="0"/>
        <w:jc w:val="left"/>
        <w:textAlignment w:val="auto"/>
        <w:rPr>
          <w:rFonts w:ascii="宋体" w:hAnsi="宋体" w:cs="宋体"/>
          <w:color w:val="auto"/>
          <w:kern w:val="0"/>
          <w:sz w:val="24"/>
        </w:rPr>
      </w:pPr>
      <w:r>
        <w:rPr>
          <w:rFonts w:hint="eastAsia" w:ascii="宋体" w:hAnsi="宋体" w:cs="宋体"/>
          <w:color w:val="auto"/>
          <w:kern w:val="0"/>
          <w:sz w:val="24"/>
        </w:rPr>
        <w:t>分部分项工程量清单与计价表；</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720" w:leftChars="0" w:hanging="420" w:firstLineChars="0"/>
        <w:jc w:val="left"/>
        <w:textAlignment w:val="auto"/>
        <w:rPr>
          <w:rFonts w:ascii="宋体" w:hAnsi="宋体" w:cs="宋体"/>
          <w:color w:val="auto"/>
          <w:kern w:val="0"/>
          <w:sz w:val="24"/>
        </w:rPr>
      </w:pPr>
      <w:r>
        <w:rPr>
          <w:rFonts w:hint="eastAsia" w:ascii="宋体" w:hAnsi="宋体" w:cs="宋体"/>
          <w:color w:val="auto"/>
          <w:kern w:val="0"/>
          <w:sz w:val="24"/>
        </w:rPr>
        <w:t>分部分项工程量清单综合单价计算表；</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720" w:leftChars="0" w:hanging="420" w:firstLineChars="0"/>
        <w:jc w:val="left"/>
        <w:textAlignment w:val="auto"/>
        <w:rPr>
          <w:rFonts w:ascii="宋体" w:hAnsi="宋体" w:cs="宋体"/>
          <w:color w:val="auto"/>
          <w:kern w:val="0"/>
          <w:sz w:val="24"/>
        </w:rPr>
      </w:pPr>
      <w:r>
        <w:rPr>
          <w:rFonts w:hint="eastAsia" w:ascii="宋体" w:hAnsi="宋体" w:cs="宋体"/>
          <w:color w:val="auto"/>
          <w:kern w:val="0"/>
          <w:sz w:val="24"/>
        </w:rPr>
        <w:t>措施项目清单与计价表（一）；</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720" w:leftChars="0" w:hanging="420" w:firstLineChars="0"/>
        <w:jc w:val="left"/>
        <w:textAlignment w:val="auto"/>
        <w:rPr>
          <w:rFonts w:ascii="宋体" w:hAnsi="宋体" w:cs="宋体"/>
          <w:color w:val="auto"/>
          <w:kern w:val="0"/>
          <w:sz w:val="24"/>
        </w:rPr>
      </w:pPr>
      <w:r>
        <w:rPr>
          <w:rFonts w:hint="eastAsia" w:ascii="宋体" w:hAnsi="宋体" w:cs="宋体"/>
          <w:color w:val="auto"/>
          <w:kern w:val="0"/>
          <w:sz w:val="24"/>
        </w:rPr>
        <w:t>措施项目清单与计价表（二）；</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720" w:leftChars="0" w:hanging="420" w:firstLineChars="0"/>
        <w:jc w:val="left"/>
        <w:textAlignment w:val="auto"/>
        <w:rPr>
          <w:rFonts w:ascii="宋体" w:hAnsi="宋体" w:cs="宋体"/>
          <w:color w:val="auto"/>
          <w:kern w:val="0"/>
          <w:sz w:val="24"/>
        </w:rPr>
      </w:pPr>
      <w:r>
        <w:rPr>
          <w:rFonts w:hint="eastAsia" w:ascii="宋体" w:hAnsi="宋体" w:cs="宋体"/>
          <w:color w:val="auto"/>
          <w:kern w:val="0"/>
          <w:sz w:val="24"/>
        </w:rPr>
        <w:t>其他项目清单计价表；</w:t>
      </w:r>
    </w:p>
    <w:p>
      <w:pPr>
        <w:keepNext w:val="0"/>
        <w:keepLines w:val="0"/>
        <w:pageBreakBefore w:val="0"/>
        <w:widowControl w:val="0"/>
        <w:numPr>
          <w:ilvl w:val="0"/>
          <w:numId w:val="5"/>
        </w:numPr>
        <w:tabs>
          <w:tab w:val="left" w:pos="720"/>
        </w:tabs>
        <w:kinsoku/>
        <w:wordWrap/>
        <w:overflowPunct/>
        <w:topLinePunct w:val="0"/>
        <w:autoSpaceDE/>
        <w:autoSpaceDN/>
        <w:bidi w:val="0"/>
        <w:adjustRightInd/>
        <w:snapToGrid/>
        <w:spacing w:line="360" w:lineRule="auto"/>
        <w:ind w:left="720" w:leftChars="0" w:hanging="420" w:firstLineChars="0"/>
        <w:textAlignment w:val="auto"/>
        <w:rPr>
          <w:rFonts w:hint="eastAsia" w:ascii="宋体" w:hAnsi="宋体"/>
          <w:color w:val="auto"/>
        </w:rPr>
      </w:pPr>
      <w:r>
        <w:rPr>
          <w:rFonts w:hint="eastAsia" w:ascii="宋体" w:hAnsi="宋体" w:cs="宋体"/>
          <w:color w:val="auto"/>
          <w:kern w:val="0"/>
          <w:sz w:val="24"/>
        </w:rPr>
        <w:t>主要材料设备价格表</w:t>
      </w:r>
    </w:p>
    <w:p>
      <w:pPr>
        <w:widowControl w:val="0"/>
        <w:tabs>
          <w:tab w:val="left" w:pos="540"/>
        </w:tabs>
        <w:kinsoku/>
        <w:wordWrap/>
        <w:overflowPunct/>
        <w:topLinePunct w:val="0"/>
        <w:bidi w:val="0"/>
        <w:spacing w:line="360" w:lineRule="auto"/>
        <w:ind w:firstLine="540" w:firstLineChars="225"/>
        <w:textAlignment w:val="auto"/>
        <w:rPr>
          <w:rFonts w:hint="eastAsia" w:ascii="宋体" w:hAnsi="宋体"/>
          <w:color w:val="auto"/>
        </w:rPr>
      </w:pPr>
      <w:r>
        <w:rPr>
          <w:rFonts w:hint="eastAsia" w:ascii="宋体" w:hAnsi="宋体"/>
          <w:color w:val="auto"/>
        </w:rPr>
        <w:t>①投标报价表由委托人或法人代表签名并加盖公章，投标人报价以投标总价作报价。报价表中如有大写与小写不一致时，以大写为准。</w:t>
      </w:r>
    </w:p>
    <w:p>
      <w:pPr>
        <w:tabs>
          <w:tab w:val="left" w:pos="540"/>
        </w:tabs>
        <w:kinsoku/>
        <w:wordWrap/>
        <w:overflowPunct/>
        <w:topLinePunct w:val="0"/>
        <w:bidi w:val="0"/>
        <w:spacing w:line="360" w:lineRule="auto"/>
        <w:ind w:firstLine="540" w:firstLineChars="225"/>
        <w:textAlignment w:val="auto"/>
        <w:rPr>
          <w:rFonts w:hint="eastAsia" w:ascii="宋体" w:hAnsi="宋体"/>
          <w:color w:val="auto"/>
          <w:szCs w:val="21"/>
        </w:rPr>
      </w:pPr>
      <w:r>
        <w:rPr>
          <w:rFonts w:ascii="宋体" w:hAnsi="宋体"/>
          <w:color w:val="auto"/>
        </w:rPr>
        <w:fldChar w:fldCharType="begin"/>
      </w:r>
      <w:r>
        <w:rPr>
          <w:rFonts w:ascii="宋体" w:hAnsi="宋体"/>
          <w:color w:val="auto"/>
        </w:rPr>
        <w:instrText xml:space="preserve"> </w:instrText>
      </w:r>
      <w:r>
        <w:rPr>
          <w:rFonts w:hint="eastAsia" w:ascii="宋体" w:hAnsi="宋体"/>
          <w:color w:val="auto"/>
        </w:rPr>
        <w:instrText xml:space="preserve">= 2 \* GB3</w:instrText>
      </w:r>
      <w:r>
        <w:rPr>
          <w:rFonts w:ascii="宋体" w:hAnsi="宋体"/>
          <w:color w:val="auto"/>
        </w:rPr>
        <w:instrText xml:space="preserve"> </w:instrText>
      </w:r>
      <w:r>
        <w:rPr>
          <w:rFonts w:ascii="宋体" w:hAnsi="宋体"/>
          <w:color w:val="auto"/>
        </w:rPr>
        <w:fldChar w:fldCharType="separate"/>
      </w:r>
      <w:r>
        <w:rPr>
          <w:rFonts w:hint="eastAsia" w:ascii="宋体" w:hAnsi="宋体"/>
          <w:color w:val="auto"/>
        </w:rPr>
        <w:t>②</w:t>
      </w:r>
      <w:r>
        <w:rPr>
          <w:rFonts w:ascii="宋体" w:hAnsi="宋体"/>
          <w:color w:val="auto"/>
        </w:rPr>
        <w:fldChar w:fldCharType="end"/>
      </w:r>
      <w:r>
        <w:rPr>
          <w:rFonts w:hint="eastAsia" w:ascii="宋体" w:hAnsi="宋体"/>
          <w:color w:val="auto"/>
        </w:rPr>
        <w:t>投</w:t>
      </w:r>
      <w:r>
        <w:rPr>
          <w:rFonts w:hint="eastAsia" w:ascii="宋体" w:hAnsi="宋体"/>
          <w:color w:val="auto"/>
          <w:szCs w:val="21"/>
        </w:rPr>
        <w:t>标报价有算术错误的，评标委员会按以下原则对投标报价进行修正，修正的价格经投标人书面确认后具有约束力。投标人不接受修正价格的，其投标作废标处理。</w:t>
      </w:r>
    </w:p>
    <w:p>
      <w:pPr>
        <w:numPr>
          <w:ilvl w:val="4"/>
          <w:numId w:val="6"/>
        </w:numPr>
        <w:tabs>
          <w:tab w:val="left" w:pos="1080"/>
          <w:tab w:val="clear" w:pos="2100"/>
        </w:tabs>
        <w:kinsoku/>
        <w:wordWrap/>
        <w:overflowPunct/>
        <w:topLinePunct w:val="0"/>
        <w:bidi w:val="0"/>
        <w:spacing w:line="360" w:lineRule="auto"/>
        <w:ind w:left="1080" w:hanging="540"/>
        <w:textAlignment w:val="auto"/>
        <w:rPr>
          <w:rFonts w:hint="eastAsia" w:ascii="宋体" w:hAnsi="宋体"/>
          <w:color w:val="auto"/>
          <w:szCs w:val="21"/>
        </w:rPr>
      </w:pPr>
      <w:r>
        <w:rPr>
          <w:rFonts w:hint="eastAsia" w:ascii="宋体" w:hAnsi="宋体"/>
          <w:color w:val="auto"/>
          <w:szCs w:val="21"/>
        </w:rPr>
        <w:t>投标文件中的大写金额与小写金额不一致的，以大写金额为准；（小写金额与合计价一致的除外）</w:t>
      </w:r>
    </w:p>
    <w:p>
      <w:pPr>
        <w:numPr>
          <w:ilvl w:val="4"/>
          <w:numId w:val="6"/>
        </w:numPr>
        <w:tabs>
          <w:tab w:val="left" w:pos="1080"/>
          <w:tab w:val="clear" w:pos="2100"/>
        </w:tabs>
        <w:kinsoku/>
        <w:wordWrap/>
        <w:overflowPunct/>
        <w:topLinePunct w:val="0"/>
        <w:bidi w:val="0"/>
        <w:spacing w:line="360" w:lineRule="auto"/>
        <w:ind w:left="1080" w:hanging="540"/>
        <w:textAlignment w:val="auto"/>
        <w:rPr>
          <w:rFonts w:hint="eastAsia" w:ascii="宋体" w:hAnsi="宋体"/>
          <w:color w:val="auto"/>
          <w:szCs w:val="21"/>
        </w:rPr>
      </w:pPr>
      <w:r>
        <w:rPr>
          <w:rFonts w:hint="eastAsia" w:ascii="宋体" w:hAnsi="宋体"/>
          <w:color w:val="auto"/>
          <w:szCs w:val="21"/>
        </w:rPr>
        <w:t>总价金额与依据单价计算出的结果不一致的，以单价金额为准修正总价，但单价金额小数点有明显错误的除外。</w:t>
      </w:r>
    </w:p>
    <w:p>
      <w:pPr>
        <w:widowControl w:val="0"/>
        <w:numPr>
          <w:ilvl w:val="1"/>
          <w:numId w:val="7"/>
        </w:numPr>
        <w:tabs>
          <w:tab w:val="left" w:pos="540"/>
          <w:tab w:val="clear" w:pos="840"/>
        </w:tabs>
        <w:kinsoku/>
        <w:wordWrap/>
        <w:overflowPunct/>
        <w:topLinePunct w:val="0"/>
        <w:bidi w:val="0"/>
        <w:spacing w:line="360" w:lineRule="auto"/>
        <w:ind w:left="540" w:hanging="540"/>
        <w:textAlignment w:val="auto"/>
        <w:rPr>
          <w:rFonts w:hint="eastAsia" w:ascii="宋体" w:hAnsi="宋体"/>
          <w:color w:val="auto"/>
        </w:rPr>
      </w:pPr>
      <w:r>
        <w:rPr>
          <w:rFonts w:hint="eastAsia" w:ascii="宋体" w:hAnsi="宋体"/>
          <w:color w:val="auto"/>
        </w:rPr>
        <w:t>投标文件正、副本不一致时，以正本为准。</w:t>
      </w:r>
    </w:p>
    <w:p>
      <w:pPr>
        <w:widowControl w:val="0"/>
        <w:numPr>
          <w:ilvl w:val="0"/>
          <w:numId w:val="3"/>
        </w:numPr>
        <w:tabs>
          <w:tab w:val="left" w:pos="540"/>
        </w:tabs>
        <w:kinsoku/>
        <w:wordWrap/>
        <w:overflowPunct/>
        <w:topLinePunct w:val="0"/>
        <w:bidi w:val="0"/>
        <w:spacing w:line="360" w:lineRule="auto"/>
        <w:ind w:left="425" w:leftChars="0" w:hanging="425" w:firstLineChars="0"/>
        <w:textAlignment w:val="auto"/>
        <w:rPr>
          <w:rFonts w:hint="eastAsia" w:ascii="宋体" w:hAnsi="宋体"/>
          <w:b/>
          <w:color w:val="auto"/>
        </w:rPr>
      </w:pPr>
      <w:r>
        <w:rPr>
          <w:rFonts w:hint="eastAsia" w:ascii="宋体" w:hAnsi="宋体"/>
          <w:b/>
          <w:color w:val="auto"/>
        </w:rPr>
        <w:t>投标文件的密封与标记：</w:t>
      </w:r>
    </w:p>
    <w:p>
      <w:pPr>
        <w:widowControl w:val="0"/>
        <w:numPr>
          <w:ilvl w:val="0"/>
          <w:numId w:val="8"/>
        </w:numPr>
        <w:tabs>
          <w:tab w:val="left" w:pos="540"/>
        </w:tabs>
        <w:kinsoku/>
        <w:wordWrap/>
        <w:overflowPunct/>
        <w:topLinePunct w:val="0"/>
        <w:bidi w:val="0"/>
        <w:spacing w:line="360" w:lineRule="auto"/>
        <w:ind w:left="0" w:leftChars="0" w:firstLine="400" w:firstLineChars="0"/>
        <w:textAlignment w:val="auto"/>
        <w:rPr>
          <w:rFonts w:hint="eastAsia" w:ascii="宋体" w:hAnsi="宋体"/>
          <w:color w:val="auto"/>
        </w:rPr>
      </w:pPr>
      <w:r>
        <w:rPr>
          <w:rFonts w:hint="eastAsia" w:ascii="宋体" w:hAnsi="宋体"/>
          <w:color w:val="auto"/>
        </w:rPr>
        <w:t>密封：投标文件的基本资料和经济标函应分别单独包装密封。</w:t>
      </w:r>
    </w:p>
    <w:p>
      <w:pPr>
        <w:widowControl w:val="0"/>
        <w:numPr>
          <w:ilvl w:val="0"/>
          <w:numId w:val="8"/>
        </w:numPr>
        <w:tabs>
          <w:tab w:val="left" w:pos="540"/>
        </w:tabs>
        <w:kinsoku/>
        <w:wordWrap/>
        <w:overflowPunct/>
        <w:topLinePunct w:val="0"/>
        <w:bidi w:val="0"/>
        <w:spacing w:line="360" w:lineRule="auto"/>
        <w:ind w:left="0" w:leftChars="0" w:firstLine="400" w:firstLineChars="0"/>
        <w:textAlignment w:val="auto"/>
        <w:rPr>
          <w:rFonts w:hint="eastAsia" w:ascii="宋体" w:hAnsi="宋体"/>
          <w:color w:val="auto"/>
        </w:rPr>
      </w:pPr>
      <w:r>
        <w:rPr>
          <w:rFonts w:hint="eastAsia" w:ascii="宋体" w:hAnsi="宋体"/>
          <w:color w:val="auto"/>
        </w:rPr>
        <w:t>标记：在每个密封外包文件袋上应分别写明：工程名称、投标文件的标函名称、招标人名称和投标人全称，并在外包文件袋封面上由法定代表人或法定代表人委托代理人签名并加盖投标人公章。</w:t>
      </w:r>
    </w:p>
    <w:p>
      <w:pPr>
        <w:widowControl w:val="0"/>
        <w:numPr>
          <w:ilvl w:val="0"/>
          <w:numId w:val="8"/>
        </w:numPr>
        <w:tabs>
          <w:tab w:val="left" w:pos="540"/>
        </w:tabs>
        <w:kinsoku/>
        <w:wordWrap/>
        <w:overflowPunct/>
        <w:topLinePunct w:val="0"/>
        <w:bidi w:val="0"/>
        <w:spacing w:line="360" w:lineRule="auto"/>
        <w:ind w:left="0" w:leftChars="0" w:firstLine="400" w:firstLineChars="0"/>
        <w:textAlignment w:val="auto"/>
        <w:rPr>
          <w:rFonts w:hint="eastAsia"/>
          <w:color w:val="auto"/>
        </w:rPr>
      </w:pPr>
      <w:r>
        <w:rPr>
          <w:rFonts w:hint="eastAsia"/>
          <w:color w:val="auto"/>
          <w:lang w:eastAsia="zh-CN"/>
        </w:rPr>
        <w:t>电子标函一份，封装在基本资料标函中。</w:t>
      </w:r>
    </w:p>
    <w:p>
      <w:pPr>
        <w:spacing w:line="360" w:lineRule="auto"/>
        <w:rPr>
          <w:rFonts w:ascii="宋体" w:hAnsi="宋体"/>
          <w:b/>
          <w:color w:val="auto"/>
        </w:rPr>
      </w:pPr>
      <w:r>
        <w:rPr>
          <w:rFonts w:hint="eastAsia" w:ascii="宋体" w:hAnsi="宋体"/>
          <w:b/>
          <w:color w:val="auto"/>
        </w:rPr>
        <w:t>3.2投标有效期</w:t>
      </w:r>
    </w:p>
    <w:p>
      <w:pPr>
        <w:spacing w:line="360" w:lineRule="auto"/>
        <w:rPr>
          <w:rFonts w:ascii="宋体" w:hAnsi="宋体"/>
          <w:b/>
          <w:color w:val="auto"/>
        </w:rPr>
      </w:pPr>
      <w:r>
        <w:rPr>
          <w:rFonts w:hint="eastAsia" w:ascii="宋体" w:hAnsi="宋体"/>
          <w:color w:val="auto"/>
          <w:szCs w:val="21"/>
        </w:rPr>
        <w:t>3.2.1 在投标人须知前附表规定的投标有效期内，投标人不得要求撤销或修改其投标文件。</w:t>
      </w:r>
    </w:p>
    <w:p>
      <w:pPr>
        <w:spacing w:line="360" w:lineRule="auto"/>
        <w:rPr>
          <w:rFonts w:ascii="宋体" w:hAnsi="宋体"/>
          <w:b/>
          <w:color w:val="auto"/>
        </w:rPr>
      </w:pPr>
      <w:r>
        <w:rPr>
          <w:rFonts w:hint="eastAsia" w:ascii="宋体" w:hAnsi="宋体"/>
          <w:b/>
          <w:color w:val="auto"/>
        </w:rPr>
        <w:t>3.3投标保证金</w:t>
      </w:r>
    </w:p>
    <w:p>
      <w:pPr>
        <w:spacing w:line="360" w:lineRule="auto"/>
        <w:rPr>
          <w:rFonts w:ascii="宋体" w:hAnsi="宋体"/>
          <w:color w:val="auto"/>
        </w:rPr>
      </w:pPr>
      <w:r>
        <w:rPr>
          <w:rFonts w:hint="eastAsia" w:ascii="宋体" w:hAnsi="宋体"/>
          <w:color w:val="auto"/>
        </w:rPr>
        <w:t>见投标人须知前附表。</w:t>
      </w:r>
    </w:p>
    <w:p>
      <w:pPr>
        <w:spacing w:line="360" w:lineRule="auto"/>
        <w:rPr>
          <w:rFonts w:ascii="宋体" w:hAnsi="宋体"/>
          <w:b/>
          <w:color w:val="auto"/>
        </w:rPr>
      </w:pPr>
      <w:r>
        <w:rPr>
          <w:rFonts w:hint="eastAsia" w:ascii="宋体" w:hAnsi="宋体"/>
          <w:b/>
          <w:color w:val="auto"/>
        </w:rPr>
        <w:t>3.4备选投标方案</w:t>
      </w:r>
    </w:p>
    <w:p>
      <w:pPr>
        <w:spacing w:line="360" w:lineRule="auto"/>
        <w:ind w:firstLine="480" w:firstLineChars="200"/>
        <w:rPr>
          <w:rFonts w:ascii="宋体" w:hAnsi="宋体"/>
          <w:color w:val="auto"/>
          <w:szCs w:val="21"/>
        </w:rPr>
      </w:pPr>
      <w:r>
        <w:rPr>
          <w:rFonts w:hint="eastAsia" w:ascii="宋体" w:hAnsi="宋体"/>
          <w:color w:val="auto"/>
          <w:szCs w:val="21"/>
        </w:rPr>
        <w:t>除投标人须知前附表另有规定外，投标人不得递交备选投标方案。允许投标人递交备选投标方案的，只有中标人所递交的备选投标方案方可予以考虑。评标委员会认为中标人的各选投标方案优于其按照招标文件要求编制的投标方案的，招标人可以接受该备选投标方案。</w:t>
      </w:r>
    </w:p>
    <w:p>
      <w:pPr>
        <w:spacing w:line="360" w:lineRule="auto"/>
        <w:rPr>
          <w:rFonts w:ascii="宋体" w:hAnsi="宋体"/>
          <w:b/>
          <w:color w:val="auto"/>
        </w:rPr>
      </w:pPr>
      <w:bookmarkStart w:id="24" w:name="_Toc184635074"/>
      <w:bookmarkStart w:id="25" w:name="_Toc45126831"/>
      <w:r>
        <w:rPr>
          <w:rFonts w:hint="eastAsia" w:ascii="宋体" w:hAnsi="宋体"/>
          <w:b/>
          <w:color w:val="auto"/>
        </w:rPr>
        <w:t>4．投标</w:t>
      </w:r>
      <w:bookmarkEnd w:id="24"/>
      <w:bookmarkEnd w:id="25"/>
    </w:p>
    <w:p>
      <w:pPr>
        <w:spacing w:line="360" w:lineRule="auto"/>
        <w:rPr>
          <w:rFonts w:ascii="宋体" w:hAnsi="宋体"/>
          <w:b/>
          <w:color w:val="auto"/>
        </w:rPr>
      </w:pPr>
      <w:r>
        <w:rPr>
          <w:rFonts w:hint="eastAsia" w:ascii="宋体" w:hAnsi="宋体"/>
          <w:b/>
          <w:color w:val="auto"/>
        </w:rPr>
        <w:t>4.1投标文件的制作要求</w:t>
      </w:r>
    </w:p>
    <w:p>
      <w:pPr>
        <w:spacing w:line="360" w:lineRule="auto"/>
        <w:rPr>
          <w:rFonts w:ascii="宋体" w:hAnsi="宋体"/>
          <w:color w:val="auto"/>
        </w:rPr>
      </w:pPr>
      <w:r>
        <w:rPr>
          <w:rFonts w:hint="eastAsia" w:ascii="宋体" w:hAnsi="宋体"/>
          <w:color w:val="auto"/>
        </w:rPr>
        <w:t>4.1.1投标文件</w:t>
      </w:r>
      <w:r>
        <w:rPr>
          <w:rFonts w:hint="eastAsia" w:ascii="宋体" w:hAnsi="宋体"/>
          <w:color w:val="auto"/>
          <w:lang w:eastAsia="zh-CN"/>
        </w:rPr>
        <w:t>（基本资料、经济标函）</w:t>
      </w:r>
      <w:r>
        <w:rPr>
          <w:rFonts w:hint="eastAsia" w:ascii="宋体" w:hAnsi="宋体"/>
          <w:color w:val="auto"/>
        </w:rPr>
        <w:t>全部电子文档必须采用PDF形式，正本</w:t>
      </w:r>
      <w:r>
        <w:rPr>
          <w:rFonts w:hint="eastAsia" w:ascii="宋体" w:hAnsi="宋体"/>
          <w:color w:val="auto"/>
          <w:lang w:eastAsia="zh-CN"/>
        </w:rPr>
        <w:t>与</w:t>
      </w:r>
      <w:r>
        <w:rPr>
          <w:rFonts w:hint="eastAsia" w:ascii="宋体" w:hAnsi="宋体"/>
          <w:color w:val="auto"/>
        </w:rPr>
        <w:t>副本</w:t>
      </w:r>
      <w:r>
        <w:rPr>
          <w:rFonts w:hint="eastAsia" w:ascii="宋体" w:hAnsi="宋体"/>
          <w:b/>
          <w:color w:val="auto"/>
        </w:rPr>
        <w:t>密封在同一个文件袋中</w:t>
      </w:r>
      <w:r>
        <w:rPr>
          <w:rFonts w:hint="eastAsia" w:ascii="宋体" w:hAnsi="宋体"/>
          <w:color w:val="auto"/>
        </w:rPr>
        <w:t>。</w:t>
      </w:r>
    </w:p>
    <w:p>
      <w:pPr>
        <w:spacing w:line="360" w:lineRule="auto"/>
        <w:rPr>
          <w:rFonts w:ascii="宋体" w:hAnsi="宋体"/>
          <w:b/>
          <w:color w:val="auto"/>
        </w:rPr>
      </w:pPr>
      <w:r>
        <w:rPr>
          <w:rFonts w:hint="eastAsia" w:ascii="宋体" w:hAnsi="宋体"/>
          <w:b/>
          <w:color w:val="auto"/>
        </w:rPr>
        <w:t>4.1.2 投标文件的密封与标记</w:t>
      </w:r>
    </w:p>
    <w:p>
      <w:pPr>
        <w:widowControl w:val="0"/>
        <w:tabs>
          <w:tab w:val="left" w:pos="540"/>
        </w:tabs>
        <w:spacing w:line="360" w:lineRule="auto"/>
        <w:rPr>
          <w:rFonts w:ascii="宋体" w:hAnsi="宋体"/>
          <w:color w:val="auto"/>
        </w:rPr>
      </w:pPr>
      <w:r>
        <w:rPr>
          <w:rFonts w:hint="eastAsia" w:ascii="宋体" w:hAnsi="宋体"/>
          <w:color w:val="auto"/>
        </w:rPr>
        <w:t>（1）密封：投标文件</w:t>
      </w:r>
      <w:r>
        <w:rPr>
          <w:rFonts w:hint="eastAsia" w:ascii="宋体" w:hAnsi="宋体"/>
          <w:color w:val="auto"/>
          <w:lang w:eastAsia="zh-CN"/>
        </w:rPr>
        <w:t>（基本资料、经济标函）</w:t>
      </w:r>
      <w:r>
        <w:rPr>
          <w:rFonts w:hint="eastAsia" w:ascii="宋体" w:hAnsi="宋体"/>
          <w:color w:val="auto"/>
        </w:rPr>
        <w:t>应密封包装。</w:t>
      </w:r>
    </w:p>
    <w:p>
      <w:pPr>
        <w:widowControl w:val="0"/>
        <w:tabs>
          <w:tab w:val="left" w:pos="540"/>
        </w:tabs>
        <w:spacing w:line="360" w:lineRule="auto"/>
        <w:rPr>
          <w:rFonts w:hint="default" w:ascii="宋体" w:hAnsi="宋体" w:eastAsia="宋体"/>
          <w:color w:val="auto"/>
          <w:lang w:val="en-US" w:eastAsia="zh-CN"/>
        </w:rPr>
      </w:pPr>
      <w:r>
        <w:rPr>
          <w:rFonts w:hint="eastAsia" w:ascii="宋体" w:hAnsi="宋体"/>
          <w:color w:val="auto"/>
        </w:rPr>
        <w:t>（2）标记：</w:t>
      </w:r>
      <w:r>
        <w:rPr>
          <w:rFonts w:hint="eastAsia" w:ascii="宋体" w:hAnsi="宋体"/>
          <w:color w:val="auto"/>
          <w:lang w:eastAsia="zh-CN"/>
        </w:rPr>
        <w:t>按</w:t>
      </w:r>
      <w:r>
        <w:rPr>
          <w:rFonts w:hint="eastAsia" w:ascii="宋体" w:hAnsi="宋体"/>
          <w:color w:val="auto"/>
          <w:lang w:val="en-US" w:eastAsia="zh-CN"/>
        </w:rPr>
        <w:t>3.1.1投标文件</w:t>
      </w:r>
      <w:r>
        <w:rPr>
          <w:rFonts w:hint="eastAsia" w:ascii="宋体" w:hAnsi="宋体"/>
          <w:color w:val="auto"/>
          <w:lang w:eastAsia="zh-CN"/>
        </w:rPr>
        <w:t>密封与标记</w:t>
      </w:r>
      <w:r>
        <w:rPr>
          <w:rFonts w:hint="eastAsia" w:ascii="宋体" w:hAnsi="宋体"/>
          <w:color w:val="auto"/>
          <w:lang w:val="en-US" w:eastAsia="zh-CN"/>
        </w:rPr>
        <w:t>要求标记；</w:t>
      </w:r>
    </w:p>
    <w:p>
      <w:pPr>
        <w:spacing w:line="360" w:lineRule="auto"/>
        <w:rPr>
          <w:rFonts w:ascii="宋体" w:hAnsi="宋体"/>
          <w:color w:val="auto"/>
        </w:rPr>
      </w:pPr>
      <w:r>
        <w:rPr>
          <w:rFonts w:hint="eastAsia" w:ascii="宋体" w:hAnsi="宋体"/>
          <w:color w:val="auto"/>
        </w:rPr>
        <w:t>（3）纸质评标的投标文件按招标文件要求装订和密封投标文件的正本与副本须包装在同一密封袋内，并在封套上加盖投标人单位章。</w:t>
      </w:r>
    </w:p>
    <w:p>
      <w:pPr>
        <w:spacing w:line="360" w:lineRule="auto"/>
        <w:rPr>
          <w:rFonts w:ascii="宋体" w:hAnsi="宋体"/>
          <w:b/>
          <w:color w:val="auto"/>
        </w:rPr>
      </w:pPr>
      <w:r>
        <w:rPr>
          <w:rFonts w:hint="eastAsia" w:ascii="宋体" w:hAnsi="宋体"/>
          <w:b/>
          <w:color w:val="auto"/>
        </w:rPr>
        <w:t>4.2 投标文件的递交</w:t>
      </w:r>
    </w:p>
    <w:p>
      <w:pPr>
        <w:spacing w:line="360" w:lineRule="auto"/>
        <w:rPr>
          <w:rFonts w:ascii="宋体" w:hAnsi="宋体"/>
          <w:color w:val="auto"/>
        </w:rPr>
      </w:pPr>
      <w:r>
        <w:rPr>
          <w:rFonts w:hint="eastAsia" w:ascii="宋体" w:hAnsi="宋体"/>
          <w:color w:val="auto"/>
        </w:rPr>
        <w:t>4.2.1投标人应在投标人须知前附表规定的投标截止时间前递交投标文件。</w:t>
      </w:r>
    </w:p>
    <w:p>
      <w:pPr>
        <w:spacing w:line="360" w:lineRule="auto"/>
        <w:rPr>
          <w:rFonts w:ascii="宋体" w:hAnsi="宋体"/>
          <w:color w:val="auto"/>
        </w:rPr>
      </w:pPr>
      <w:r>
        <w:rPr>
          <w:rFonts w:hint="eastAsia" w:ascii="宋体" w:hAnsi="宋体"/>
          <w:color w:val="auto"/>
        </w:rPr>
        <w:t>4.2.2 逾期递交的投标文件，不予受理。</w:t>
      </w:r>
    </w:p>
    <w:p>
      <w:pPr>
        <w:spacing w:line="360" w:lineRule="auto"/>
        <w:rPr>
          <w:rFonts w:ascii="宋体" w:hAnsi="宋体"/>
          <w:b/>
          <w:color w:val="auto"/>
        </w:rPr>
      </w:pPr>
      <w:r>
        <w:rPr>
          <w:rFonts w:hint="eastAsia" w:ascii="宋体" w:hAnsi="宋体"/>
          <w:b/>
          <w:color w:val="auto"/>
        </w:rPr>
        <w:t>4.3 投标文件的修改与撤回</w:t>
      </w:r>
    </w:p>
    <w:p>
      <w:pPr>
        <w:spacing w:line="360" w:lineRule="auto"/>
        <w:rPr>
          <w:rFonts w:ascii="宋体" w:hAnsi="宋体"/>
          <w:color w:val="auto"/>
        </w:rPr>
      </w:pPr>
      <w:r>
        <w:rPr>
          <w:rFonts w:hint="eastAsia" w:ascii="宋体" w:hAnsi="宋体"/>
          <w:color w:val="auto"/>
        </w:rPr>
        <w:t>4.3.1在投标人须知前附表规定的投标截止时间前，投标人可以修改已递交的投标文件。修改的内容为投标文件的组成部分。修改的投标文件应按照本章第3 条、第4 条规定进行编制、密封、标记和递交，并标明“修改”字样。</w:t>
      </w:r>
    </w:p>
    <w:p>
      <w:pPr>
        <w:spacing w:line="360" w:lineRule="auto"/>
        <w:rPr>
          <w:rFonts w:ascii="宋体" w:hAnsi="宋体"/>
          <w:color w:val="auto"/>
          <w:szCs w:val="21"/>
        </w:rPr>
      </w:pPr>
      <w:r>
        <w:rPr>
          <w:rFonts w:hint="eastAsia" w:ascii="宋体" w:hAnsi="宋体"/>
          <w:color w:val="auto"/>
          <w:szCs w:val="21"/>
        </w:rPr>
        <w:t>4.3.2 投标人撤回已递交投标文件的书面通知应按照本章的要求签字或盖章。招标人收到书面通知后，向投标人出具签收凭证。</w:t>
      </w:r>
    </w:p>
    <w:p>
      <w:pPr>
        <w:spacing w:line="360" w:lineRule="auto"/>
        <w:rPr>
          <w:rFonts w:ascii="宋体" w:hAnsi="宋体"/>
          <w:b/>
          <w:color w:val="auto"/>
        </w:rPr>
      </w:pPr>
      <w:bookmarkStart w:id="26" w:name="_Toc45126832"/>
      <w:bookmarkStart w:id="27" w:name="_Toc184635075"/>
      <w:r>
        <w:rPr>
          <w:rFonts w:hint="eastAsia" w:ascii="宋体" w:hAnsi="宋体"/>
          <w:b/>
          <w:color w:val="auto"/>
        </w:rPr>
        <w:t>5.开标</w:t>
      </w:r>
      <w:bookmarkEnd w:id="26"/>
      <w:bookmarkEnd w:id="27"/>
    </w:p>
    <w:p>
      <w:pPr>
        <w:spacing w:line="360" w:lineRule="auto"/>
        <w:rPr>
          <w:rFonts w:ascii="宋体" w:hAnsi="宋体"/>
          <w:b/>
          <w:color w:val="auto"/>
        </w:rPr>
      </w:pPr>
      <w:r>
        <w:rPr>
          <w:rFonts w:hint="eastAsia" w:ascii="宋体" w:hAnsi="宋体"/>
          <w:b/>
          <w:color w:val="auto"/>
        </w:rPr>
        <w:t>5.1开标时间和地点</w:t>
      </w:r>
    </w:p>
    <w:p>
      <w:pPr>
        <w:spacing w:line="360" w:lineRule="auto"/>
        <w:ind w:firstLine="482" w:firstLineChars="200"/>
        <w:rPr>
          <w:rFonts w:ascii="宋体" w:hAnsi="宋体"/>
          <w:b/>
          <w:color w:val="auto"/>
        </w:rPr>
      </w:pPr>
      <w:r>
        <w:rPr>
          <w:rFonts w:hint="eastAsia" w:ascii="宋体" w:hAnsi="宋体"/>
          <w:b/>
          <w:color w:val="auto"/>
        </w:rPr>
        <w:t>在规定的开标时间和投标人须知前附表规定的地点公开开标，并邀请所有投标人的法定代表人或其委托的代理人准时参加。</w:t>
      </w:r>
    </w:p>
    <w:p>
      <w:pPr>
        <w:spacing w:line="360" w:lineRule="auto"/>
        <w:rPr>
          <w:rFonts w:ascii="宋体" w:hAnsi="宋体"/>
          <w:b/>
          <w:color w:val="auto"/>
        </w:rPr>
      </w:pPr>
      <w:r>
        <w:rPr>
          <w:rFonts w:hint="eastAsia" w:ascii="宋体" w:hAnsi="宋体"/>
          <w:b/>
          <w:color w:val="auto"/>
        </w:rPr>
        <w:t>5.2开标程序</w:t>
      </w:r>
    </w:p>
    <w:p>
      <w:pPr>
        <w:spacing w:line="360" w:lineRule="auto"/>
        <w:rPr>
          <w:rFonts w:ascii="宋体" w:hAnsi="宋体"/>
          <w:color w:val="auto"/>
        </w:rPr>
      </w:pPr>
      <w:r>
        <w:rPr>
          <w:rFonts w:hint="eastAsia" w:ascii="宋体" w:hAnsi="宋体"/>
          <w:color w:val="auto"/>
        </w:rPr>
        <w:t>主持人按下列程序进行开标：</w:t>
      </w:r>
    </w:p>
    <w:p>
      <w:pPr>
        <w:numPr>
          <w:ilvl w:val="0"/>
          <w:numId w:val="9"/>
        </w:numPr>
        <w:kinsoku/>
        <w:wordWrap/>
        <w:overflowPunct/>
        <w:topLinePunct w:val="0"/>
        <w:bidi w:val="0"/>
        <w:spacing w:line="360" w:lineRule="auto"/>
        <w:ind w:left="0" w:leftChars="0" w:firstLine="400" w:firstLineChars="0"/>
        <w:textAlignment w:val="auto"/>
        <w:rPr>
          <w:rFonts w:hint="eastAsia" w:ascii="宋体" w:hAnsi="宋体"/>
          <w:color w:val="auto"/>
          <w:szCs w:val="21"/>
        </w:rPr>
      </w:pPr>
      <w:r>
        <w:rPr>
          <w:rFonts w:hint="eastAsia" w:ascii="宋体" w:hAnsi="宋体"/>
          <w:color w:val="auto"/>
          <w:szCs w:val="21"/>
        </w:rPr>
        <w:t>招标人或招标代理接收纸质投标文件，投标人法定代表人或</w:t>
      </w:r>
      <w:r>
        <w:rPr>
          <w:rFonts w:hint="eastAsia" w:ascii="宋体" w:hAnsi="宋体"/>
          <w:color w:val="auto"/>
          <w:szCs w:val="21"/>
          <w:lang w:eastAsia="zh-CN"/>
        </w:rPr>
        <w:t>授权代表</w:t>
      </w:r>
      <w:r>
        <w:rPr>
          <w:rFonts w:hint="eastAsia" w:ascii="宋体" w:hAnsi="宋体"/>
          <w:color w:val="auto"/>
          <w:szCs w:val="21"/>
        </w:rPr>
        <w:t>到现场完成</w:t>
      </w:r>
      <w:r>
        <w:rPr>
          <w:rFonts w:hint="eastAsia" w:ascii="宋体" w:hAnsi="宋体"/>
          <w:color w:val="auto"/>
          <w:szCs w:val="21"/>
          <w:lang w:eastAsia="zh-CN"/>
        </w:rPr>
        <w:t>纸质</w:t>
      </w:r>
      <w:r>
        <w:rPr>
          <w:rFonts w:hint="eastAsia" w:ascii="宋体" w:hAnsi="宋体"/>
          <w:color w:val="auto"/>
          <w:szCs w:val="21"/>
        </w:rPr>
        <w:t>签到；</w:t>
      </w:r>
    </w:p>
    <w:p>
      <w:pPr>
        <w:numPr>
          <w:ilvl w:val="0"/>
          <w:numId w:val="9"/>
        </w:numPr>
        <w:kinsoku/>
        <w:wordWrap/>
        <w:overflowPunct/>
        <w:topLinePunct w:val="0"/>
        <w:bidi w:val="0"/>
        <w:spacing w:line="360" w:lineRule="auto"/>
        <w:ind w:left="0" w:leftChars="0" w:firstLine="400" w:firstLineChars="0"/>
        <w:textAlignment w:val="auto"/>
        <w:rPr>
          <w:rFonts w:hint="eastAsia" w:ascii="宋体" w:hAnsi="宋体"/>
          <w:color w:val="auto"/>
          <w:szCs w:val="21"/>
        </w:rPr>
      </w:pPr>
      <w:r>
        <w:rPr>
          <w:rFonts w:hint="eastAsia" w:ascii="宋体" w:hAnsi="宋体"/>
          <w:color w:val="auto"/>
          <w:szCs w:val="21"/>
        </w:rPr>
        <w:t>招标人或招标代理</w:t>
      </w:r>
      <w:r>
        <w:rPr>
          <w:rFonts w:hint="eastAsia" w:ascii="宋体" w:hAnsi="宋体" w:cs="宋体"/>
          <w:color w:val="auto"/>
          <w:kern w:val="0"/>
          <w:szCs w:val="21"/>
        </w:rPr>
        <w:t>宣布投标文件递交截止时间到（以</w:t>
      </w:r>
      <w:r>
        <w:rPr>
          <w:rFonts w:hint="eastAsia" w:ascii="宋体" w:hAnsi="宋体" w:cs="宋体"/>
          <w:color w:val="auto"/>
          <w:kern w:val="0"/>
          <w:szCs w:val="21"/>
          <w:lang w:eastAsia="zh-CN"/>
        </w:rPr>
        <w:t>开标室投影屏</w:t>
      </w:r>
      <w:r>
        <w:rPr>
          <w:rFonts w:hint="eastAsia" w:ascii="宋体" w:hAnsi="宋体" w:cs="宋体"/>
          <w:color w:val="auto"/>
          <w:kern w:val="0"/>
          <w:szCs w:val="21"/>
        </w:rPr>
        <w:t>的</w:t>
      </w:r>
      <w:r>
        <w:rPr>
          <w:rFonts w:hint="eastAsia" w:ascii="宋体" w:hAnsi="宋体" w:cs="宋体"/>
          <w:color w:val="auto"/>
          <w:kern w:val="0"/>
          <w:szCs w:val="21"/>
          <w:lang w:eastAsia="zh-CN"/>
        </w:rPr>
        <w:t>显示</w:t>
      </w:r>
      <w:r>
        <w:rPr>
          <w:rFonts w:hint="eastAsia" w:ascii="宋体" w:hAnsi="宋体" w:cs="宋体"/>
          <w:color w:val="auto"/>
          <w:kern w:val="0"/>
          <w:szCs w:val="21"/>
        </w:rPr>
        <w:t>时间为准），迟于此时间递交的投标文件不予接受；</w:t>
      </w:r>
      <w:r>
        <w:rPr>
          <w:rFonts w:hint="eastAsia" w:ascii="宋体" w:hAnsi="宋体"/>
          <w:color w:val="auto"/>
          <w:szCs w:val="21"/>
        </w:rPr>
        <w:t xml:space="preserve"> </w:t>
      </w:r>
    </w:p>
    <w:p>
      <w:pPr>
        <w:numPr>
          <w:ilvl w:val="0"/>
          <w:numId w:val="9"/>
        </w:numPr>
        <w:kinsoku/>
        <w:wordWrap/>
        <w:overflowPunct/>
        <w:topLinePunct w:val="0"/>
        <w:bidi w:val="0"/>
        <w:spacing w:line="360" w:lineRule="auto"/>
        <w:ind w:left="0" w:leftChars="0" w:firstLine="400" w:firstLineChars="0"/>
        <w:textAlignment w:val="auto"/>
        <w:rPr>
          <w:rFonts w:hint="eastAsia" w:ascii="宋体" w:hAnsi="宋体"/>
          <w:color w:val="auto"/>
          <w:szCs w:val="21"/>
        </w:rPr>
      </w:pPr>
      <w:r>
        <w:rPr>
          <w:rFonts w:hint="eastAsia" w:ascii="宋体" w:hAnsi="宋体"/>
          <w:color w:val="auto"/>
          <w:szCs w:val="21"/>
        </w:rPr>
        <w:t>招标人或招标代理宣布开标纪律、开标人、唱标人、记录人、监标人</w:t>
      </w:r>
      <w:r>
        <w:rPr>
          <w:rFonts w:hint="eastAsia" w:ascii="宋体" w:hAnsi="宋体"/>
          <w:color w:val="auto"/>
          <w:szCs w:val="21"/>
          <w:lang w:eastAsia="zh-CN"/>
        </w:rPr>
        <w:t>（如有）</w:t>
      </w:r>
      <w:r>
        <w:rPr>
          <w:rFonts w:hint="eastAsia" w:ascii="宋体" w:hAnsi="宋体"/>
          <w:color w:val="auto"/>
          <w:szCs w:val="21"/>
        </w:rPr>
        <w:t xml:space="preserve">等有关人员姓名； </w:t>
      </w:r>
    </w:p>
    <w:p>
      <w:pPr>
        <w:numPr>
          <w:ilvl w:val="0"/>
          <w:numId w:val="9"/>
        </w:numPr>
        <w:kinsoku/>
        <w:wordWrap/>
        <w:overflowPunct/>
        <w:topLinePunct w:val="0"/>
        <w:bidi w:val="0"/>
        <w:spacing w:line="360" w:lineRule="auto"/>
        <w:ind w:left="0" w:leftChars="0" w:firstLine="400" w:firstLineChars="0"/>
        <w:textAlignment w:val="auto"/>
        <w:rPr>
          <w:rFonts w:hint="eastAsia" w:ascii="宋体" w:hAnsi="宋体"/>
          <w:color w:val="auto"/>
          <w:szCs w:val="21"/>
        </w:rPr>
      </w:pPr>
      <w:r>
        <w:rPr>
          <w:rFonts w:hint="eastAsia" w:ascii="宋体" w:hAnsi="宋体"/>
          <w:color w:val="auto"/>
          <w:szCs w:val="21"/>
        </w:rPr>
        <w:t>招标人或招标代理检查现场递交投标文件的情况。即检查</w:t>
      </w:r>
      <w:r>
        <w:rPr>
          <w:rFonts w:hint="eastAsia" w:ascii="宋体" w:hAnsi="宋体"/>
          <w:color w:val="auto"/>
          <w:szCs w:val="21"/>
          <w:lang w:eastAsia="zh-CN"/>
        </w:rPr>
        <w:t>基本资料</w:t>
      </w:r>
      <w:r>
        <w:rPr>
          <w:rFonts w:hint="eastAsia" w:ascii="宋体" w:hAnsi="宋体"/>
          <w:color w:val="auto"/>
          <w:szCs w:val="21"/>
        </w:rPr>
        <w:t>和</w:t>
      </w:r>
      <w:r>
        <w:rPr>
          <w:rFonts w:hint="eastAsia" w:ascii="宋体" w:hAnsi="宋体"/>
          <w:color w:val="auto"/>
          <w:szCs w:val="21"/>
          <w:lang w:eastAsia="zh-CN"/>
        </w:rPr>
        <w:t>经济标函</w:t>
      </w:r>
      <w:r>
        <w:rPr>
          <w:rFonts w:hint="eastAsia" w:ascii="宋体" w:hAnsi="宋体"/>
          <w:color w:val="auto"/>
          <w:szCs w:val="21"/>
        </w:rPr>
        <w:t>外包装的密封、签字、盖章是否符合招标文件要求。</w:t>
      </w:r>
    </w:p>
    <w:p>
      <w:pPr>
        <w:numPr>
          <w:ilvl w:val="0"/>
          <w:numId w:val="9"/>
        </w:numPr>
        <w:kinsoku/>
        <w:wordWrap/>
        <w:overflowPunct/>
        <w:topLinePunct w:val="0"/>
        <w:bidi w:val="0"/>
        <w:spacing w:line="360" w:lineRule="auto"/>
        <w:ind w:left="0" w:leftChars="0" w:firstLine="400" w:firstLineChars="0"/>
        <w:textAlignment w:val="auto"/>
        <w:rPr>
          <w:rFonts w:ascii="宋体" w:hAnsi="宋体"/>
          <w:color w:val="auto"/>
        </w:rPr>
      </w:pPr>
      <w:r>
        <w:rPr>
          <w:rFonts w:hint="eastAsia" w:ascii="宋体" w:hAnsi="宋体"/>
          <w:color w:val="auto"/>
          <w:szCs w:val="21"/>
          <w:lang w:eastAsia="zh-CN"/>
        </w:rPr>
        <w:t>招标代理机构工作人员</w:t>
      </w:r>
      <w:r>
        <w:rPr>
          <w:rFonts w:hint="eastAsia" w:ascii="宋体" w:hAnsi="宋体"/>
          <w:color w:val="auto"/>
          <w:szCs w:val="21"/>
        </w:rPr>
        <w:t>当众开启</w:t>
      </w:r>
      <w:r>
        <w:rPr>
          <w:rFonts w:hint="eastAsia" w:ascii="宋体" w:hAnsi="宋体"/>
          <w:color w:val="auto"/>
          <w:szCs w:val="21"/>
          <w:lang w:eastAsia="zh-CN"/>
        </w:rPr>
        <w:t>符合</w:t>
      </w:r>
      <w:r>
        <w:rPr>
          <w:rFonts w:hint="eastAsia" w:ascii="宋体" w:hAnsi="宋体"/>
          <w:color w:val="auto"/>
          <w:szCs w:val="21"/>
        </w:rPr>
        <w:t>上述</w:t>
      </w:r>
      <w:r>
        <w:rPr>
          <w:rFonts w:hint="eastAsia" w:ascii="宋体" w:hAnsi="宋体"/>
          <w:color w:val="auto"/>
          <w:szCs w:val="21"/>
          <w:lang w:eastAsia="zh-CN"/>
        </w:rPr>
        <w:t>要求</w:t>
      </w:r>
      <w:r>
        <w:rPr>
          <w:rFonts w:hint="eastAsia" w:ascii="宋体" w:hAnsi="宋体"/>
          <w:color w:val="auto"/>
          <w:szCs w:val="21"/>
        </w:rPr>
        <w:t>的投标人的投标文件</w:t>
      </w:r>
      <w:r>
        <w:rPr>
          <w:rFonts w:hint="eastAsia" w:ascii="宋体" w:hAnsi="宋体"/>
          <w:color w:val="auto"/>
          <w:szCs w:val="21"/>
          <w:lang w:eastAsia="zh-CN"/>
        </w:rPr>
        <w:t>（先开启基本资料标函、基本资料审查通过的开启经济标函并唱出投标报价）</w:t>
      </w:r>
      <w:r>
        <w:rPr>
          <w:rFonts w:hint="eastAsia" w:ascii="宋体" w:hAnsi="宋体"/>
          <w:color w:val="auto"/>
          <w:szCs w:val="21"/>
        </w:rPr>
        <w:t>。</w:t>
      </w:r>
      <w:r>
        <w:rPr>
          <w:rFonts w:hint="eastAsia" w:ascii="宋体" w:hAnsi="宋体"/>
          <w:color w:val="auto"/>
        </w:rPr>
        <w:t xml:space="preserve"> </w:t>
      </w:r>
    </w:p>
    <w:p>
      <w:pPr>
        <w:spacing w:line="360" w:lineRule="auto"/>
        <w:rPr>
          <w:rFonts w:ascii="宋体" w:hAnsi="宋体"/>
          <w:b/>
          <w:color w:val="auto"/>
        </w:rPr>
      </w:pPr>
      <w:r>
        <w:rPr>
          <w:rFonts w:hint="eastAsia" w:ascii="宋体" w:hAnsi="宋体"/>
          <w:b/>
          <w:color w:val="auto"/>
        </w:rPr>
        <w:t xml:space="preserve">5.3 </w:t>
      </w:r>
      <w:r>
        <w:rPr>
          <w:rFonts w:hint="eastAsia" w:ascii="宋体" w:hAnsi="宋体"/>
          <w:color w:val="auto"/>
        </w:rPr>
        <w:t>开标时需查验的证件或证明材料原件</w:t>
      </w:r>
    </w:p>
    <w:p>
      <w:pPr>
        <w:spacing w:line="360" w:lineRule="auto"/>
        <w:ind w:firstLine="480" w:firstLineChars="200"/>
        <w:rPr>
          <w:rFonts w:ascii="宋体" w:hAnsi="宋体"/>
          <w:b/>
          <w:color w:val="auto"/>
        </w:rPr>
      </w:pPr>
      <w:r>
        <w:rPr>
          <w:rFonts w:hint="eastAsia" w:ascii="宋体" w:hAnsi="宋体"/>
          <w:color w:val="auto"/>
        </w:rPr>
        <w:t>各投标单位代表[法定代表人凭法定代表人身份证明及本人第二代身份证原件或授权委托代理人凭法定代表人身份证明、授权委托书、本人第二代身份证原件。以上资料必须在开启投标文件前验证，否则按废标处理]携带密封的</w:t>
      </w:r>
      <w:r>
        <w:rPr>
          <w:rFonts w:hint="eastAsia" w:ascii="宋体" w:hAnsi="宋体"/>
          <w:b/>
          <w:color w:val="auto"/>
        </w:rPr>
        <w:t>投标文件</w:t>
      </w:r>
      <w:r>
        <w:rPr>
          <w:rFonts w:hint="eastAsia" w:ascii="宋体" w:hAnsi="宋体"/>
          <w:color w:val="auto"/>
        </w:rPr>
        <w:t>参加开标评标会，投标文件于开标会议现场递交。</w:t>
      </w:r>
    </w:p>
    <w:p>
      <w:pPr>
        <w:spacing w:line="360" w:lineRule="auto"/>
        <w:rPr>
          <w:rFonts w:ascii="宋体" w:hAnsi="宋体"/>
          <w:b/>
          <w:color w:val="auto"/>
        </w:rPr>
      </w:pPr>
      <w:bookmarkStart w:id="28" w:name="_Toc45126833"/>
      <w:r>
        <w:rPr>
          <w:rFonts w:hint="eastAsia" w:ascii="宋体" w:hAnsi="宋体"/>
          <w:b/>
          <w:color w:val="auto"/>
        </w:rPr>
        <w:t>6.评标</w:t>
      </w:r>
      <w:bookmarkEnd w:id="28"/>
    </w:p>
    <w:p>
      <w:pPr>
        <w:spacing w:line="360" w:lineRule="auto"/>
        <w:rPr>
          <w:rFonts w:ascii="宋体" w:hAnsi="宋体"/>
          <w:color w:val="auto"/>
        </w:rPr>
      </w:pPr>
      <w:r>
        <w:rPr>
          <w:rFonts w:hint="eastAsia" w:ascii="宋体" w:hAnsi="宋体"/>
          <w:color w:val="auto"/>
        </w:rPr>
        <w:t>6.1 评标委员会</w:t>
      </w:r>
    </w:p>
    <w:p>
      <w:pPr>
        <w:spacing w:line="360" w:lineRule="auto"/>
        <w:rPr>
          <w:rFonts w:ascii="宋体" w:hAnsi="宋体"/>
          <w:color w:val="auto"/>
        </w:rPr>
      </w:pPr>
      <w:r>
        <w:rPr>
          <w:rFonts w:hint="eastAsia" w:ascii="宋体" w:hAnsi="宋体"/>
          <w:color w:val="auto"/>
        </w:rPr>
        <w:t>6.1.1 评标工作由招标人依法组建的评标委员会负责。有关技术、商务专家须在专家库抽取，评标委员会成员人数以及技术、商务等方面专家的确定方式见投标人须知前附表。</w:t>
      </w:r>
    </w:p>
    <w:p>
      <w:pPr>
        <w:spacing w:line="360" w:lineRule="auto"/>
        <w:rPr>
          <w:rFonts w:ascii="宋体" w:hAnsi="宋体"/>
          <w:color w:val="auto"/>
        </w:rPr>
      </w:pPr>
      <w:r>
        <w:rPr>
          <w:rFonts w:hint="eastAsia" w:ascii="宋体" w:hAnsi="宋体"/>
          <w:color w:val="auto"/>
        </w:rPr>
        <w:t>6.1.2 评标委员会成员有下列情形之一的，应当回避：</w:t>
      </w:r>
    </w:p>
    <w:p>
      <w:pPr>
        <w:spacing w:line="360" w:lineRule="auto"/>
        <w:rPr>
          <w:rFonts w:ascii="宋体" w:hAnsi="宋体"/>
          <w:color w:val="auto"/>
        </w:rPr>
      </w:pPr>
      <w:r>
        <w:rPr>
          <w:rFonts w:hint="eastAsia" w:ascii="宋体" w:hAnsi="宋体"/>
          <w:color w:val="auto"/>
        </w:rPr>
        <w:t>(1）投标人或投标人的主要负责人的近亲属；</w:t>
      </w:r>
    </w:p>
    <w:p>
      <w:pPr>
        <w:spacing w:line="360" w:lineRule="auto"/>
        <w:rPr>
          <w:rFonts w:ascii="宋体" w:hAnsi="宋体"/>
          <w:color w:val="auto"/>
        </w:rPr>
      </w:pPr>
      <w:r>
        <w:rPr>
          <w:rFonts w:hint="eastAsia" w:ascii="宋体" w:hAnsi="宋体"/>
          <w:color w:val="auto"/>
        </w:rPr>
        <w:t>(2）项目主管部门或者行政监督部门的人员：</w:t>
      </w:r>
    </w:p>
    <w:p>
      <w:pPr>
        <w:spacing w:line="360" w:lineRule="auto"/>
        <w:rPr>
          <w:rFonts w:ascii="宋体" w:hAnsi="宋体"/>
          <w:color w:val="auto"/>
        </w:rPr>
      </w:pPr>
      <w:r>
        <w:rPr>
          <w:rFonts w:hint="eastAsia" w:ascii="宋体" w:hAnsi="宋体"/>
          <w:color w:val="auto"/>
        </w:rPr>
        <w:t>(3）与投标人有商务利益关系，可能影响对投标公正评审的；</w:t>
      </w:r>
    </w:p>
    <w:p>
      <w:pPr>
        <w:spacing w:line="360" w:lineRule="auto"/>
        <w:rPr>
          <w:rFonts w:ascii="宋体" w:hAnsi="宋体"/>
          <w:color w:val="auto"/>
        </w:rPr>
      </w:pPr>
      <w:r>
        <w:rPr>
          <w:rFonts w:hint="eastAsia" w:ascii="宋体" w:hAnsi="宋体"/>
          <w:color w:val="auto"/>
        </w:rPr>
        <w:t>(4）曾因在招标、评标以及其他与招标投标有关活动中从事违法行为而受过行政处罚或刑事处罚的。</w:t>
      </w:r>
    </w:p>
    <w:p>
      <w:pPr>
        <w:spacing w:line="360" w:lineRule="auto"/>
        <w:rPr>
          <w:rFonts w:ascii="宋体" w:hAnsi="宋体"/>
          <w:color w:val="auto"/>
        </w:rPr>
      </w:pPr>
      <w:r>
        <w:rPr>
          <w:rFonts w:hint="eastAsia" w:ascii="宋体" w:hAnsi="宋体"/>
          <w:color w:val="auto"/>
        </w:rPr>
        <w:t>6.2 评标原则</w:t>
      </w:r>
    </w:p>
    <w:p>
      <w:pPr>
        <w:spacing w:line="360" w:lineRule="auto"/>
        <w:rPr>
          <w:rFonts w:ascii="宋体" w:hAnsi="宋体"/>
          <w:color w:val="auto"/>
        </w:rPr>
      </w:pPr>
      <w:r>
        <w:rPr>
          <w:rFonts w:hint="eastAsia" w:ascii="宋体" w:hAnsi="宋体"/>
          <w:color w:val="auto"/>
        </w:rPr>
        <w:t xml:space="preserve">    评标活动遵循公平、公正、科学和择优的原则。</w:t>
      </w:r>
    </w:p>
    <w:p>
      <w:pPr>
        <w:spacing w:line="360" w:lineRule="auto"/>
        <w:rPr>
          <w:rFonts w:ascii="宋体" w:hAnsi="宋体"/>
          <w:color w:val="auto"/>
        </w:rPr>
      </w:pPr>
      <w:r>
        <w:rPr>
          <w:rFonts w:hint="eastAsia" w:ascii="宋体" w:hAnsi="宋体"/>
          <w:color w:val="auto"/>
        </w:rPr>
        <w:t>6.3 评标</w:t>
      </w:r>
    </w:p>
    <w:p>
      <w:pPr>
        <w:spacing w:line="360" w:lineRule="auto"/>
        <w:ind w:firstLine="480" w:firstLineChars="200"/>
        <w:rPr>
          <w:rFonts w:ascii="宋体" w:hAnsi="宋体"/>
          <w:color w:val="auto"/>
        </w:rPr>
      </w:pPr>
      <w:r>
        <w:rPr>
          <w:rFonts w:hint="eastAsia" w:ascii="宋体" w:hAnsi="宋体"/>
          <w:color w:val="auto"/>
        </w:rPr>
        <w:t>评标委员会按照第三章“评标办法”规定的方法、评审因素、标准和程序对投标文件进行评审。第三章“评标办法”没有规定的方法、评审因素和标准，不作为评标依据。</w:t>
      </w:r>
    </w:p>
    <w:p>
      <w:pPr>
        <w:spacing w:line="360" w:lineRule="auto"/>
        <w:rPr>
          <w:rFonts w:ascii="宋体" w:hAnsi="宋体"/>
          <w:color w:val="auto"/>
        </w:rPr>
      </w:pPr>
      <w:bookmarkStart w:id="29" w:name="_Toc184635077"/>
      <w:r>
        <w:rPr>
          <w:rFonts w:hint="eastAsia" w:ascii="宋体" w:hAnsi="宋体"/>
          <w:color w:val="auto"/>
        </w:rPr>
        <w:t>7．合同授予</w:t>
      </w:r>
      <w:bookmarkEnd w:id="29"/>
    </w:p>
    <w:p>
      <w:pPr>
        <w:spacing w:line="360" w:lineRule="auto"/>
        <w:rPr>
          <w:rFonts w:ascii="宋体" w:hAnsi="宋体"/>
          <w:color w:val="auto"/>
        </w:rPr>
      </w:pPr>
      <w:r>
        <w:rPr>
          <w:rFonts w:hint="eastAsia" w:ascii="宋体" w:hAnsi="宋体"/>
          <w:color w:val="auto"/>
        </w:rPr>
        <w:t>7.1 定标方式</w:t>
      </w:r>
    </w:p>
    <w:p>
      <w:pPr>
        <w:spacing w:line="360" w:lineRule="auto"/>
        <w:ind w:firstLine="480" w:firstLineChars="200"/>
        <w:rPr>
          <w:rFonts w:ascii="宋体" w:hAnsi="宋体"/>
          <w:color w:val="auto"/>
          <w:szCs w:val="21"/>
        </w:rPr>
      </w:pPr>
      <w:r>
        <w:rPr>
          <w:rFonts w:hint="eastAsia" w:ascii="宋体" w:hAnsi="宋体"/>
          <w:color w:val="auto"/>
          <w:szCs w:val="21"/>
        </w:rPr>
        <w:t>除投标人须知前附表规定评标委员会直接确定中标人外，招标人依据评标委员会推荐的中标候选人确定中标人，评标委员会推荐中标候选人的人数见投标人须知前附表。定标方式详见第三章评标办法。</w:t>
      </w:r>
    </w:p>
    <w:p>
      <w:pPr>
        <w:spacing w:line="360" w:lineRule="auto"/>
        <w:rPr>
          <w:rFonts w:ascii="宋体" w:hAnsi="宋体"/>
          <w:color w:val="auto"/>
        </w:rPr>
      </w:pPr>
      <w:r>
        <w:rPr>
          <w:rFonts w:hint="eastAsia" w:ascii="宋体" w:hAnsi="宋体"/>
          <w:color w:val="auto"/>
        </w:rPr>
        <w:t>7.2 中标通知</w:t>
      </w:r>
    </w:p>
    <w:p>
      <w:pPr>
        <w:spacing w:line="360" w:lineRule="auto"/>
        <w:ind w:firstLine="480" w:firstLineChars="200"/>
        <w:rPr>
          <w:rFonts w:ascii="宋体" w:hAnsi="宋体"/>
          <w:color w:val="auto"/>
          <w:szCs w:val="21"/>
        </w:rPr>
      </w:pPr>
      <w:r>
        <w:rPr>
          <w:rFonts w:hint="eastAsia" w:ascii="宋体" w:hAnsi="宋体"/>
          <w:color w:val="auto"/>
          <w:szCs w:val="21"/>
        </w:rPr>
        <w:t>评标结果在评标结束后统一</w:t>
      </w:r>
      <w:r>
        <w:rPr>
          <w:rFonts w:hint="eastAsia" w:ascii="宋体" w:hAnsi="宋体"/>
          <w:color w:val="auto"/>
        </w:rPr>
        <w:t>在招标代理机构网站、村务公开栏</w:t>
      </w:r>
      <w:r>
        <w:rPr>
          <w:rFonts w:hint="eastAsia" w:ascii="宋体" w:hAnsi="宋体"/>
          <w:color w:val="auto"/>
          <w:szCs w:val="21"/>
        </w:rPr>
        <w:t>上公告，该公告等同于告知中标人及未中标人，招标人不再另行发出《中标结果通知书》，请投标人及时查看。在本章第3.2 款规定的投标有效期内，招标人以书面形式向中标人发出中标通知书。</w:t>
      </w:r>
    </w:p>
    <w:p>
      <w:pPr>
        <w:spacing w:line="360" w:lineRule="auto"/>
        <w:rPr>
          <w:rFonts w:hint="eastAsia" w:ascii="宋体" w:hAnsi="宋体" w:eastAsia="宋体"/>
          <w:color w:val="auto"/>
          <w:lang w:eastAsia="zh-CN"/>
        </w:rPr>
      </w:pPr>
      <w:r>
        <w:rPr>
          <w:rFonts w:hint="eastAsia" w:ascii="宋体" w:hAnsi="宋体"/>
          <w:color w:val="auto"/>
        </w:rPr>
        <w:t>7.3 履约担保</w:t>
      </w:r>
      <w:r>
        <w:rPr>
          <w:rFonts w:hint="eastAsia" w:ascii="宋体" w:hAnsi="宋体"/>
          <w:color w:val="auto"/>
          <w:lang w:eastAsia="zh-CN"/>
        </w:rPr>
        <w:t>（本项目不适用）</w:t>
      </w:r>
    </w:p>
    <w:p>
      <w:pPr>
        <w:spacing w:line="360" w:lineRule="auto"/>
        <w:rPr>
          <w:rFonts w:ascii="宋体" w:hAnsi="宋体"/>
          <w:color w:val="auto"/>
          <w:szCs w:val="21"/>
        </w:rPr>
      </w:pPr>
      <w:r>
        <w:rPr>
          <w:rFonts w:hint="eastAsia" w:ascii="宋体" w:hAnsi="宋体"/>
          <w:color w:val="auto"/>
          <w:szCs w:val="21"/>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pacing w:line="360" w:lineRule="auto"/>
        <w:rPr>
          <w:rFonts w:ascii="宋体" w:hAnsi="宋体"/>
          <w:color w:val="auto"/>
          <w:szCs w:val="21"/>
        </w:rPr>
      </w:pPr>
      <w:r>
        <w:rPr>
          <w:rFonts w:hint="eastAsia" w:ascii="宋体" w:hAnsi="宋体"/>
          <w:color w:val="auto"/>
          <w:szCs w:val="21"/>
        </w:rPr>
        <w:t>7.3.2 中标人不能按本章第7.3.1 项要求提交履约担保的，视为放弃中标，其投标保证金不予退还，给招标人造成的损失超过投标保证金数额的，中标人还应当对超过部分予以赔偿。</w:t>
      </w:r>
    </w:p>
    <w:p>
      <w:pPr>
        <w:spacing w:line="360" w:lineRule="auto"/>
        <w:rPr>
          <w:rFonts w:ascii="宋体" w:hAnsi="宋体"/>
          <w:color w:val="auto"/>
          <w:szCs w:val="21"/>
        </w:rPr>
      </w:pPr>
      <w:r>
        <w:rPr>
          <w:rFonts w:hint="eastAsia" w:ascii="宋体" w:hAnsi="宋体"/>
          <w:color w:val="auto"/>
          <w:szCs w:val="21"/>
        </w:rPr>
        <w:t>7.3.3招标人要求中标人提供履约保证金或者其他形式履约担保的，招标人应当同时向中标人提供工程款支付担保。</w:t>
      </w:r>
    </w:p>
    <w:p>
      <w:pPr>
        <w:spacing w:line="360" w:lineRule="auto"/>
        <w:rPr>
          <w:rFonts w:ascii="宋体" w:hAnsi="宋体"/>
          <w:color w:val="auto"/>
        </w:rPr>
      </w:pPr>
      <w:r>
        <w:rPr>
          <w:rFonts w:hint="eastAsia" w:ascii="宋体" w:hAnsi="宋体"/>
          <w:color w:val="auto"/>
        </w:rPr>
        <w:t>7.4 签订合同</w:t>
      </w:r>
    </w:p>
    <w:p>
      <w:pPr>
        <w:spacing w:line="360" w:lineRule="auto"/>
        <w:rPr>
          <w:rFonts w:ascii="宋体" w:hAnsi="宋体"/>
          <w:color w:val="auto"/>
          <w:szCs w:val="21"/>
        </w:rPr>
      </w:pPr>
      <w:r>
        <w:rPr>
          <w:rFonts w:hint="eastAsia" w:ascii="宋体" w:hAnsi="宋体"/>
          <w:color w:val="auto"/>
          <w:szCs w:val="21"/>
        </w:rPr>
        <w:t>7.4.1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rPr>
          <w:rFonts w:ascii="宋体" w:hAnsi="宋体"/>
          <w:color w:val="auto"/>
          <w:szCs w:val="21"/>
        </w:rPr>
      </w:pPr>
      <w:r>
        <w:rPr>
          <w:rFonts w:hint="eastAsia" w:ascii="宋体" w:hAnsi="宋体"/>
          <w:color w:val="auto"/>
          <w:szCs w:val="21"/>
        </w:rPr>
        <w:t>7.4.2 发出中标通知书后，招标人无正当理由拒签合同的，招标人向中标人退还双倍投标保证金；给中标人造成损失的，还应当赔偿损失。</w:t>
      </w:r>
    </w:p>
    <w:p>
      <w:pPr>
        <w:spacing w:line="360" w:lineRule="auto"/>
        <w:rPr>
          <w:rFonts w:ascii="宋体" w:hAnsi="宋体" w:cs="Arial Unicode MS"/>
          <w:color w:val="auto"/>
          <w:szCs w:val="21"/>
        </w:rPr>
      </w:pPr>
      <w:r>
        <w:rPr>
          <w:rFonts w:hint="eastAsia" w:ascii="宋体" w:hAnsi="宋体"/>
          <w:color w:val="auto"/>
          <w:szCs w:val="21"/>
        </w:rPr>
        <w:t>8.招标文件的解释权归招标人所有</w:t>
      </w:r>
    </w:p>
    <w:p>
      <w:pPr>
        <w:spacing w:line="360" w:lineRule="auto"/>
        <w:rPr>
          <w:rFonts w:ascii="宋体" w:hAnsi="宋体"/>
          <w:color w:val="auto"/>
        </w:rPr>
      </w:pPr>
      <w:r>
        <w:rPr>
          <w:rFonts w:hint="eastAsia" w:ascii="宋体" w:hAnsi="宋体" w:cs="Arial Unicode MS"/>
          <w:b/>
          <w:color w:val="auto"/>
          <w:szCs w:val="21"/>
        </w:rPr>
        <w:t xml:space="preserve">    </w:t>
      </w:r>
      <w:r>
        <w:rPr>
          <w:rFonts w:hint="eastAsia" w:ascii="宋体" w:hAnsi="宋体"/>
          <w:color w:val="auto"/>
          <w:szCs w:val="21"/>
        </w:rPr>
        <w:t>在评标过程中，如果评标委员会认为招标文件存在不清晰、不明确等影响评标结果的问题，评标委员会应当立即以书面形式（书面资料由全体评标委员会签名确认）向招标人提出，招标人应在收到书面资料后、评标完成之前以书面形式加盖公章回复评标委员会。</w:t>
      </w:r>
    </w:p>
    <w:p>
      <w:pPr>
        <w:spacing w:line="360" w:lineRule="auto"/>
        <w:rPr>
          <w:rFonts w:ascii="宋体" w:hAnsi="宋体"/>
          <w:b/>
          <w:color w:val="auto"/>
          <w:szCs w:val="21"/>
        </w:rPr>
      </w:pPr>
      <w:r>
        <w:rPr>
          <w:rFonts w:hint="eastAsia" w:ascii="宋体" w:hAnsi="宋体"/>
          <w:b/>
          <w:color w:val="auto"/>
          <w:szCs w:val="21"/>
        </w:rPr>
        <w:t>9. 需要补充的其他内容</w:t>
      </w:r>
    </w:p>
    <w:p>
      <w:pPr>
        <w:spacing w:line="360" w:lineRule="auto"/>
        <w:rPr>
          <w:rFonts w:ascii="宋体" w:hAnsi="宋体"/>
          <w:b/>
          <w:color w:val="auto"/>
          <w:szCs w:val="21"/>
        </w:rPr>
      </w:pPr>
      <w:r>
        <w:rPr>
          <w:rFonts w:hint="eastAsia" w:ascii="宋体" w:hAnsi="宋体"/>
          <w:b/>
          <w:color w:val="auto"/>
          <w:szCs w:val="21"/>
        </w:rPr>
        <w:t>9.1投标报价上限价及绿色施工安全防护措施费</w:t>
      </w:r>
    </w:p>
    <w:p>
      <w:pPr>
        <w:spacing w:line="360" w:lineRule="auto"/>
        <w:ind w:firstLine="480" w:firstLineChars="200"/>
        <w:rPr>
          <w:rFonts w:ascii="宋体" w:hAnsi="宋体"/>
          <w:color w:val="auto"/>
          <w:szCs w:val="21"/>
        </w:rPr>
      </w:pPr>
      <w:r>
        <w:rPr>
          <w:rFonts w:hint="eastAsia" w:ascii="宋体" w:hAnsi="宋体"/>
          <w:color w:val="auto"/>
          <w:szCs w:val="21"/>
        </w:rPr>
        <w:t>投标报价上限价：</w:t>
      </w:r>
      <w:r>
        <w:rPr>
          <w:rFonts w:hint="eastAsia" w:ascii="宋体" w:hAnsi="宋体"/>
          <w:color w:val="auto"/>
        </w:rPr>
        <w:t>¥</w:t>
      </w:r>
      <w:r>
        <w:rPr>
          <w:rFonts w:hint="eastAsia" w:ascii="宋体" w:hAnsi="宋体"/>
          <w:color w:val="auto"/>
          <w:szCs w:val="21"/>
          <w:u w:val="single"/>
        </w:rPr>
        <w:t xml:space="preserve"> </w:t>
      </w:r>
      <w:r>
        <w:rPr>
          <w:rFonts w:hint="eastAsia" w:ascii="宋体" w:hAnsi="宋体"/>
          <w:color w:val="auto"/>
          <w:u w:val="single"/>
          <w:lang w:eastAsia="zh-CN"/>
        </w:rPr>
        <w:t>207271.41</w:t>
      </w:r>
      <w:r>
        <w:rPr>
          <w:rFonts w:hint="eastAsia" w:ascii="宋体" w:hAnsi="宋体"/>
          <w:color w:val="auto"/>
          <w:u w:val="single"/>
        </w:rPr>
        <w:t>元×（1-</w:t>
      </w:r>
      <w:r>
        <w:rPr>
          <w:rFonts w:hint="eastAsia" w:ascii="宋体" w:hAnsi="宋体"/>
          <w:color w:val="auto"/>
          <w:u w:val="single"/>
          <w:lang w:val="en-US" w:eastAsia="zh-CN"/>
        </w:rPr>
        <w:t>8</w:t>
      </w:r>
      <w:r>
        <w:rPr>
          <w:rFonts w:hint="eastAsia" w:ascii="宋体" w:hAnsi="宋体"/>
          <w:color w:val="auto"/>
          <w:u w:val="single"/>
        </w:rPr>
        <w:t>%）=</w:t>
      </w:r>
      <w:r>
        <w:rPr>
          <w:rFonts w:hint="eastAsia" w:ascii="宋体" w:hAnsi="宋体"/>
          <w:color w:val="auto"/>
        </w:rPr>
        <w:t>¥</w:t>
      </w:r>
      <w:r>
        <w:rPr>
          <w:rFonts w:hint="eastAsia" w:ascii="宋体" w:hAnsi="宋体"/>
          <w:color w:val="auto"/>
          <w:u w:val="single"/>
          <w:lang w:val="en-US" w:eastAsia="zh-CN"/>
        </w:rPr>
        <w:t>190689.69</w:t>
      </w:r>
      <w:r>
        <w:rPr>
          <w:rFonts w:hint="eastAsia" w:ascii="宋体" w:hAnsi="宋体"/>
          <w:color w:val="auto"/>
          <w:u w:val="single"/>
        </w:rPr>
        <w:t>元</w:t>
      </w:r>
      <w:r>
        <w:rPr>
          <w:rFonts w:hint="eastAsia" w:ascii="宋体" w:hAnsi="宋体"/>
          <w:color w:val="auto"/>
          <w:szCs w:val="21"/>
        </w:rPr>
        <w:t>（四舍五入，保留两位小数）。</w:t>
      </w:r>
    </w:p>
    <w:p>
      <w:pPr>
        <w:spacing w:line="360" w:lineRule="auto"/>
        <w:ind w:firstLine="480" w:firstLineChars="200"/>
        <w:rPr>
          <w:rFonts w:ascii="宋体" w:hAnsi="宋体"/>
          <w:color w:val="auto"/>
          <w:szCs w:val="21"/>
        </w:rPr>
      </w:pPr>
      <w:r>
        <w:rPr>
          <w:rFonts w:hint="eastAsia" w:ascii="宋体" w:hAnsi="宋体"/>
          <w:color w:val="auto"/>
          <w:szCs w:val="21"/>
        </w:rPr>
        <w:t>本工程绿色施工安全防护措施费为：</w:t>
      </w:r>
      <w:r>
        <w:rPr>
          <w:rFonts w:hint="eastAsia" w:ascii="宋体" w:hAnsi="宋体"/>
          <w:color w:val="auto"/>
        </w:rPr>
        <w:t>¥</w:t>
      </w:r>
      <w:r>
        <w:rPr>
          <w:rFonts w:hint="eastAsia" w:ascii="宋体" w:hAnsi="宋体"/>
          <w:color w:val="auto"/>
          <w:u w:val="single"/>
          <w:lang w:eastAsia="zh-CN"/>
        </w:rPr>
        <w:t>5732.07</w:t>
      </w:r>
      <w:r>
        <w:rPr>
          <w:rFonts w:hint="eastAsia" w:ascii="宋体" w:hAnsi="宋体"/>
          <w:color w:val="auto"/>
          <w:u w:val="single"/>
        </w:rPr>
        <w:t>元</w:t>
      </w:r>
      <w:r>
        <w:rPr>
          <w:rFonts w:hint="eastAsia" w:ascii="宋体" w:hAnsi="宋体"/>
          <w:color w:val="auto"/>
          <w:szCs w:val="21"/>
        </w:rPr>
        <w:t>（不含税），投标报价超出投标报价上限价的或绿色施工安全防护措施费小于本工程招标控制价中绿色施工安全防护措施费的作废标处理。</w:t>
      </w:r>
    </w:p>
    <w:p>
      <w:pPr>
        <w:spacing w:line="360" w:lineRule="auto"/>
        <w:rPr>
          <w:rFonts w:ascii="宋体" w:hAnsi="宋体"/>
          <w:b/>
          <w:color w:val="auto"/>
          <w:szCs w:val="21"/>
        </w:rPr>
      </w:pPr>
      <w:r>
        <w:rPr>
          <w:rFonts w:hint="eastAsia" w:ascii="宋体" w:hAnsi="宋体"/>
          <w:b/>
          <w:color w:val="auto"/>
          <w:szCs w:val="21"/>
        </w:rPr>
        <w:t>9.2招标控制价和承包标准</w:t>
      </w:r>
    </w:p>
    <w:p>
      <w:pPr>
        <w:spacing w:line="360" w:lineRule="auto"/>
        <w:rPr>
          <w:rFonts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）工程量清单按</w:t>
      </w:r>
      <w:r>
        <w:rPr>
          <w:rFonts w:hint="eastAsia" w:ascii="宋体" w:hAnsi="宋体"/>
          <w:color w:val="auto"/>
          <w:szCs w:val="21"/>
        </w:rPr>
        <w:t>有关工程量清单计价规范、工程量计算规范的国家标准及省、市建设主管部门的相关规定进行</w:t>
      </w:r>
      <w:r>
        <w:rPr>
          <w:rFonts w:hint="eastAsia" w:ascii="宋体" w:hAnsi="宋体"/>
          <w:color w:val="auto"/>
        </w:rPr>
        <w:t>编制</w:t>
      </w:r>
      <w:r>
        <w:rPr>
          <w:rFonts w:hint="eastAsia" w:ascii="宋体" w:hAnsi="宋体"/>
          <w:color w:val="auto"/>
          <w:szCs w:val="21"/>
        </w:rPr>
        <w:t>。</w:t>
      </w:r>
      <w:r>
        <w:rPr>
          <w:rFonts w:hint="eastAsia" w:ascii="宋体" w:hAnsi="宋体"/>
          <w:bCs/>
          <w:color w:val="auto"/>
        </w:rPr>
        <w:t>工程量清单应与投标人须知、合同通用条款、合同专用条款、技术规范、技术要求、图纸等文件及结合起来理解或解释。</w:t>
      </w:r>
    </w:p>
    <w:p>
      <w:pPr>
        <w:spacing w:line="360" w:lineRule="auto"/>
        <w:rPr>
          <w:rFonts w:ascii="宋体" w:hAnsi="宋体"/>
          <w:color w:val="auto"/>
        </w:rPr>
      </w:pPr>
      <w:r>
        <w:rPr>
          <w:rFonts w:hint="eastAsia" w:ascii="宋体" w:hAnsi="宋体"/>
          <w:bCs/>
          <w:color w:val="auto"/>
        </w:rPr>
        <w:t>（</w:t>
      </w:r>
      <w:r>
        <w:rPr>
          <w:rFonts w:ascii="宋体" w:hAnsi="宋体"/>
          <w:bCs/>
          <w:color w:val="auto"/>
        </w:rPr>
        <w:t>2</w:t>
      </w:r>
      <w:r>
        <w:rPr>
          <w:rFonts w:hint="eastAsia" w:ascii="宋体" w:hAnsi="宋体"/>
          <w:bCs/>
          <w:color w:val="auto"/>
        </w:rPr>
        <w:t>）</w:t>
      </w:r>
      <w:r>
        <w:rPr>
          <w:rFonts w:hint="eastAsia" w:ascii="宋体" w:hAnsi="宋体"/>
          <w:color w:val="auto"/>
        </w:rPr>
        <w:t>招标人根据全套施工设计图纸，按照招标文件的有关规定，编制招标控制价。招标控制价材料价格</w:t>
      </w:r>
      <w:r>
        <w:rPr>
          <w:rFonts w:hint="eastAsia" w:ascii="宋体" w:hAnsi="宋体"/>
          <w:color w:val="auto"/>
          <w:u w:val="single"/>
        </w:rPr>
        <w:t>中山市建设工程造价</w:t>
      </w:r>
      <w:r>
        <w:rPr>
          <w:rFonts w:hint="eastAsia" w:ascii="宋体" w:hAnsi="宋体"/>
          <w:color w:val="auto"/>
          <w:u w:val="single"/>
          <w:lang w:eastAsia="zh-CN"/>
        </w:rPr>
        <w:t>事务</w:t>
      </w:r>
      <w:r>
        <w:rPr>
          <w:rFonts w:hint="eastAsia" w:ascii="宋体" w:hAnsi="宋体"/>
          <w:color w:val="auto"/>
          <w:u w:val="single"/>
        </w:rPr>
        <w:t>中心公布的20</w:t>
      </w:r>
      <w:r>
        <w:rPr>
          <w:rFonts w:hint="eastAsia" w:ascii="宋体" w:hAnsi="宋体"/>
          <w:color w:val="auto"/>
          <w:u w:val="single"/>
          <w:lang w:val="en-US" w:eastAsia="zh-CN"/>
        </w:rPr>
        <w:t>21</w:t>
      </w:r>
      <w:r>
        <w:rPr>
          <w:rFonts w:hint="eastAsia" w:ascii="宋体" w:hAnsi="宋体"/>
          <w:color w:val="auto"/>
          <w:u w:val="single"/>
        </w:rPr>
        <w:t>年</w:t>
      </w:r>
      <w:r>
        <w:rPr>
          <w:rFonts w:hint="eastAsia" w:ascii="宋体" w:hAnsi="宋体"/>
          <w:color w:val="auto"/>
          <w:u w:val="single"/>
          <w:lang w:val="en-US" w:eastAsia="zh-CN"/>
        </w:rPr>
        <w:t>9</w:t>
      </w:r>
      <w:r>
        <w:rPr>
          <w:rFonts w:hint="eastAsia" w:ascii="宋体" w:hAnsi="宋体"/>
          <w:color w:val="auto"/>
          <w:u w:val="single"/>
        </w:rPr>
        <w:t>月份材料价格信息计算，中山市材料价格信息中没有的材料参照周边城市公布的材料价格信息计算，或采用供应商相关报价及市场询价计算</w:t>
      </w:r>
      <w:r>
        <w:rPr>
          <w:rFonts w:hint="eastAsia" w:ascii="宋体" w:hAnsi="宋体"/>
          <w:color w:val="auto"/>
        </w:rPr>
        <w:t>。</w:t>
      </w:r>
    </w:p>
    <w:p>
      <w:pPr>
        <w:spacing w:line="360" w:lineRule="auto"/>
        <w:rPr>
          <w:rFonts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投标人应核对全部工程量清单（或调整后工程量清单）、图纸项目和招标范围说明，如果认为工程量清单存在项目特征描述不符、错漏或误差，或对施工图设计文件有疑问的，应在答疑会前规定时间内向招标人提出书面意见（书面意见中必须提供具体、完整的的工程量计算式），招标人于答疑会统一书面回复，招标人据实调整并重新发布工程量清单和调整招标控制价。若投标人对调整后工程量清单有异议，应在答疑提问截止前向招标人提出书面意见（书面意见中必须提供具体、完整的的工程量计算式），招标人统一书面回复。</w:t>
      </w:r>
    </w:p>
    <w:p>
      <w:pPr>
        <w:spacing w:line="360" w:lineRule="auto"/>
        <w:rPr>
          <w:rFonts w:ascii="宋体" w:hAnsi="宋体"/>
          <w:color w:val="auto"/>
        </w:rPr>
      </w:pPr>
      <w:r>
        <w:rPr>
          <w:rFonts w:hint="eastAsia" w:ascii="宋体" w:hAnsi="宋体"/>
          <w:color w:val="auto"/>
        </w:rPr>
        <w:t>投标人按工程量清单（或调整后工程量清单）报价，中标后按招标图纸（招标范围内项目）施工。除了因不可预见、招标人原因、设计修改、材料或人工单价调整按财政局文件执行等特别说明的原因或其他招标人特别同意等因素可以调整价格外，报价不予调整。</w:t>
      </w:r>
    </w:p>
    <w:p>
      <w:pPr>
        <w:spacing w:line="360" w:lineRule="auto"/>
        <w:rPr>
          <w:rFonts w:ascii="宋体" w:hAnsi="宋体"/>
          <w:color w:val="auto"/>
        </w:rPr>
      </w:pPr>
      <w:r>
        <w:rPr>
          <w:rFonts w:hint="eastAsia" w:ascii="宋体" w:hAnsi="宋体"/>
          <w:color w:val="auto"/>
        </w:rPr>
        <w:t>（</w:t>
      </w:r>
      <w:r>
        <w:rPr>
          <w:rFonts w:ascii="宋体" w:hAnsi="宋体"/>
          <w:color w:val="auto"/>
        </w:rPr>
        <w:t>4</w:t>
      </w:r>
      <w:r>
        <w:rPr>
          <w:rFonts w:hint="eastAsia" w:ascii="宋体" w:hAnsi="宋体"/>
          <w:color w:val="auto"/>
        </w:rPr>
        <w:t>）投标人的投标价，应是完成本项目招标范围内的全部工程的投标总报价。投标人应认真填写工程量清单中所列明的所有需要填写综合单价和合价的项目，且只允许有一个报价。投标人没有填入综合单价和合价的项目，招标人将不予支付，并认为该费用已包括在工程量清单中其他项目的综合单价和合价中。</w:t>
      </w:r>
    </w:p>
    <w:p>
      <w:pPr>
        <w:spacing w:line="360" w:lineRule="auto"/>
        <w:rPr>
          <w:rFonts w:ascii="宋体" w:hAnsi="宋体"/>
          <w:bCs/>
          <w:color w:val="auto"/>
        </w:rPr>
      </w:pPr>
      <w:r>
        <w:rPr>
          <w:rFonts w:hint="eastAsia" w:ascii="宋体" w:hAnsi="宋体"/>
          <w:bCs/>
          <w:color w:val="auto"/>
        </w:rPr>
        <w:t>（</w:t>
      </w:r>
      <w:r>
        <w:rPr>
          <w:rFonts w:ascii="宋体" w:hAnsi="宋体"/>
          <w:bCs/>
          <w:color w:val="auto"/>
        </w:rPr>
        <w:t>5</w:t>
      </w:r>
      <w:r>
        <w:rPr>
          <w:rFonts w:hint="eastAsia" w:ascii="宋体" w:hAnsi="宋体"/>
          <w:bCs/>
          <w:color w:val="auto"/>
        </w:rPr>
        <w:t>）工程量清单中所填入的综合单价为按技术规范与技术要求完成一个规定计量单位的工程所需的人工费、材料费、机具使用费、管理费、利润并考虑风险因素。按技术规范、招标文件、设计图纸、</w:t>
      </w:r>
      <w:r>
        <w:rPr>
          <w:rFonts w:hint="eastAsia" w:ascii="宋体" w:hAnsi="宋体"/>
          <w:bCs/>
          <w:color w:val="auto"/>
          <w:u w:val="single"/>
        </w:rPr>
        <w:t>有关现行计价依据《建设工程工程量清单计价规范(GB50500-2013)》</w:t>
      </w:r>
      <w:r>
        <w:rPr>
          <w:rFonts w:hint="eastAsia" w:ascii="宋体" w:hAnsi="宋体"/>
          <w:bCs/>
          <w:color w:val="auto"/>
          <w:u w:val="single"/>
          <w:lang w:eastAsia="zh-CN"/>
        </w:rPr>
        <w:t>、《广东省建设工程计价依据（</w:t>
      </w:r>
      <w:r>
        <w:rPr>
          <w:rFonts w:hint="eastAsia" w:ascii="宋体" w:hAnsi="宋体"/>
          <w:bCs/>
          <w:color w:val="auto"/>
          <w:u w:val="single"/>
          <w:lang w:val="en-US" w:eastAsia="zh-CN"/>
        </w:rPr>
        <w:t>2018</w:t>
      </w:r>
      <w:r>
        <w:rPr>
          <w:rFonts w:hint="eastAsia" w:ascii="宋体" w:hAnsi="宋体"/>
          <w:bCs/>
          <w:color w:val="auto"/>
          <w:u w:val="single"/>
          <w:lang w:eastAsia="zh-CN"/>
        </w:rPr>
        <w:t>）》</w:t>
      </w:r>
      <w:r>
        <w:rPr>
          <w:rFonts w:hint="eastAsia" w:ascii="宋体" w:hAnsi="宋体"/>
          <w:bCs/>
          <w:color w:val="auto"/>
        </w:rPr>
        <w:t>及办法等要求为完成一个规定计量单位的工程量所需的其他一切费用除非投标人在措施项目清单中列出，否则视为已被包含在工程量清单各项目综合单价中。</w:t>
      </w:r>
    </w:p>
    <w:p>
      <w:pPr>
        <w:spacing w:line="360" w:lineRule="auto"/>
        <w:ind w:firstLine="482" w:firstLineChars="200"/>
        <w:rPr>
          <w:rFonts w:ascii="宋体" w:hAnsi="宋体"/>
          <w:b/>
          <w:color w:val="auto"/>
        </w:rPr>
      </w:pPr>
      <w:r>
        <w:rPr>
          <w:rFonts w:hint="eastAsia" w:ascii="宋体" w:hAnsi="宋体"/>
          <w:b/>
          <w:bCs/>
          <w:color w:val="auto"/>
        </w:rPr>
        <w:t>提示</w:t>
      </w:r>
      <w:r>
        <w:rPr>
          <w:rFonts w:hint="eastAsia" w:ascii="宋体" w:hAnsi="宋体"/>
          <w:b/>
          <w:color w:val="auto"/>
        </w:rPr>
        <w:t>：投标人所填报的该项单价均已包含了完成与该分部分项工程有关的一切必要的工序和工作内容以及达到合格工程质量要求的一切工程费用和措施性费用（措施项目清单内单列的除外），即包含工程量清单中没有体现的但施工中必须发生的一切工作内容所需费用。</w:t>
      </w:r>
    </w:p>
    <w:p>
      <w:pPr>
        <w:spacing w:line="360" w:lineRule="auto"/>
        <w:rPr>
          <w:rFonts w:ascii="宋体" w:hAnsi="宋体"/>
          <w:color w:val="auto"/>
        </w:rPr>
      </w:pPr>
      <w:r>
        <w:rPr>
          <w:rFonts w:hint="eastAsia" w:ascii="宋体" w:hAnsi="宋体"/>
          <w:color w:val="auto"/>
        </w:rPr>
        <w:t>（</w:t>
      </w:r>
      <w:r>
        <w:rPr>
          <w:rFonts w:ascii="宋体" w:hAnsi="宋体"/>
          <w:color w:val="auto"/>
        </w:rPr>
        <w:t>6</w:t>
      </w:r>
      <w:r>
        <w:rPr>
          <w:rFonts w:hint="eastAsia" w:ascii="宋体" w:hAnsi="宋体"/>
          <w:color w:val="auto"/>
        </w:rPr>
        <w:t>）承包人因承包本项目需缴纳的一切税费均由承包人承担，并包含在所报的单价或总价中。</w:t>
      </w:r>
    </w:p>
    <w:p>
      <w:pPr>
        <w:spacing w:line="360" w:lineRule="auto"/>
        <w:rPr>
          <w:rFonts w:ascii="宋体" w:hAnsi="宋体"/>
          <w:color w:val="auto"/>
        </w:rPr>
      </w:pPr>
      <w:r>
        <w:rPr>
          <w:rFonts w:hint="eastAsia" w:ascii="宋体" w:hAnsi="宋体"/>
          <w:color w:val="auto"/>
        </w:rPr>
        <w:t>（</w:t>
      </w:r>
      <w:r>
        <w:rPr>
          <w:rFonts w:ascii="宋体" w:hAnsi="宋体"/>
          <w:color w:val="auto"/>
        </w:rPr>
        <w:t>7</w:t>
      </w:r>
      <w:r>
        <w:rPr>
          <w:rFonts w:hint="eastAsia" w:ascii="宋体" w:hAnsi="宋体"/>
          <w:color w:val="auto"/>
        </w:rPr>
        <w:t>）本工程为固定总价合同，实行总价包干。投标人应按照施工图及招标文件有关工期、质量、文明施工、安全等的要求，按照答疑会后公布的中介机构编制的该工程招标控制价（或工程量清单），并根据招标项目的特点，结合市场情况和企业自身竞争能力自行确定投标报价。投标人的报价将被视为投标人完全理解了工程量清单和施工图纸中的全部项目、数量及内容。中标后，中标人在工程实施过程中发现实际施工完成量（不含非承包人原因引起的工程变更）与工程量清单存在差异时，差异部分不作调整。工程变更按本节（13）有关条款执行。投标人应结合现场施工条件，将工程的所有临时设施（如施工工棚、施工排水、施工通道等）、场地租用、保险费、税、停水、停电以及排除影响施工的各类障碍等考虑在投标报价中。</w:t>
      </w:r>
    </w:p>
    <w:p>
      <w:pPr>
        <w:spacing w:line="360" w:lineRule="auto"/>
        <w:rPr>
          <w:rFonts w:ascii="宋体" w:hAnsi="宋体"/>
          <w:color w:val="auto"/>
        </w:rPr>
      </w:pPr>
      <w:r>
        <w:rPr>
          <w:rFonts w:hint="eastAsia" w:ascii="宋体" w:hAnsi="宋体"/>
          <w:color w:val="auto"/>
        </w:rPr>
        <w:t>（</w:t>
      </w:r>
      <w:r>
        <w:rPr>
          <w:rFonts w:ascii="宋体" w:hAnsi="宋体"/>
          <w:color w:val="auto"/>
        </w:rPr>
        <w:t>8</w:t>
      </w:r>
      <w:r>
        <w:rPr>
          <w:rFonts w:hint="eastAsia" w:ascii="宋体" w:hAnsi="宋体"/>
          <w:color w:val="auto"/>
        </w:rPr>
        <w:t>）投标人投标报价时应考虑并承担一定的风险，如物价、气候、水文地质等情况变化及其他意外困难等。投标人认为必要采取的任何施工、技术施工、辅助工程、临时工程等费用须包含在投标总报价中。</w:t>
      </w:r>
    </w:p>
    <w:p>
      <w:pPr>
        <w:spacing w:line="360" w:lineRule="auto"/>
        <w:rPr>
          <w:rFonts w:ascii="宋体" w:hAnsi="宋体"/>
          <w:color w:val="auto"/>
        </w:rPr>
      </w:pPr>
      <w:r>
        <w:rPr>
          <w:rFonts w:hint="eastAsia" w:ascii="宋体" w:hAnsi="宋体"/>
          <w:color w:val="auto"/>
        </w:rPr>
        <w:t>（</w:t>
      </w:r>
      <w:r>
        <w:rPr>
          <w:rFonts w:ascii="宋体" w:hAnsi="宋体"/>
          <w:color w:val="auto"/>
        </w:rPr>
        <w:t>9</w:t>
      </w:r>
      <w:r>
        <w:rPr>
          <w:rFonts w:hint="eastAsia" w:ascii="宋体" w:hAnsi="宋体"/>
          <w:color w:val="auto"/>
        </w:rPr>
        <w:t>）投标人应做好对本工程周边建、构筑物等的保护工作，尤其要采取相应有效的措施做好对沿线埋设管线的保护，因措施不当，防护不力而引发的问题概由中标人负责，此措施等费用包含在投标总报价中。</w:t>
      </w:r>
    </w:p>
    <w:p>
      <w:pPr>
        <w:spacing w:line="360" w:lineRule="auto"/>
        <w:rPr>
          <w:rFonts w:ascii="宋体" w:hAnsi="宋体"/>
          <w:color w:val="auto"/>
        </w:rPr>
      </w:pPr>
      <w:r>
        <w:rPr>
          <w:rFonts w:hint="eastAsia" w:ascii="宋体" w:hAnsi="宋体"/>
          <w:color w:val="auto"/>
        </w:rPr>
        <w:t>（</w:t>
      </w:r>
      <w:r>
        <w:rPr>
          <w:rFonts w:ascii="宋体" w:hAnsi="宋体"/>
          <w:color w:val="auto"/>
        </w:rPr>
        <w:t>10</w:t>
      </w:r>
      <w:r>
        <w:rPr>
          <w:rFonts w:hint="eastAsia" w:ascii="宋体" w:hAnsi="宋体"/>
          <w:color w:val="auto"/>
        </w:rPr>
        <w:t>）本工程招标人提供的招标控制价作为投标人投标报价的文件且答疑会后招标人提供的招标控制价的实体工程量原则上不允许改动</w:t>
      </w:r>
      <w:r>
        <w:rPr>
          <w:rFonts w:ascii="宋体" w:hAnsi="宋体"/>
          <w:color w:val="auto"/>
        </w:rPr>
        <w:t>,</w:t>
      </w:r>
      <w:r>
        <w:rPr>
          <w:rFonts w:hint="eastAsia" w:ascii="宋体" w:hAnsi="宋体"/>
          <w:color w:val="auto"/>
        </w:rPr>
        <w:t>各投标人应根据招标控制价的实体工程量、施工图纸及现场情况等进行报价，一旦确定了中标人和中标价，除另有规定外，招标人将执行中标价结算。</w:t>
      </w:r>
    </w:p>
    <w:p>
      <w:pPr>
        <w:spacing w:line="360" w:lineRule="auto"/>
        <w:rPr>
          <w:rFonts w:ascii="宋体" w:hAnsi="宋体"/>
          <w:color w:val="auto"/>
        </w:rPr>
      </w:pPr>
      <w:r>
        <w:rPr>
          <w:rFonts w:hint="eastAsia" w:ascii="宋体" w:hAnsi="宋体"/>
          <w:color w:val="auto"/>
        </w:rPr>
        <w:t>（</w:t>
      </w:r>
      <w:r>
        <w:rPr>
          <w:rFonts w:ascii="宋体" w:hAnsi="宋体"/>
          <w:color w:val="auto"/>
        </w:rPr>
        <w:t>11</w:t>
      </w:r>
      <w:r>
        <w:rPr>
          <w:rFonts w:hint="eastAsia" w:ascii="宋体" w:hAnsi="宋体"/>
          <w:color w:val="auto"/>
        </w:rPr>
        <w:t>）投标报价范围内的工程造价除设计变更或招标文件、招标答疑中允许的调整范围以及中山市人民政府办公室文件允许的建筑主材调差外，其余不因市场价格变化而调整。在计费时，投标人应将施工风险系数等费用考虑入工程投标总报价中。</w:t>
      </w:r>
    </w:p>
    <w:p>
      <w:pPr>
        <w:spacing w:line="360" w:lineRule="auto"/>
        <w:rPr>
          <w:rFonts w:ascii="宋体" w:hAnsi="宋体"/>
          <w:color w:val="auto"/>
        </w:rPr>
      </w:pPr>
      <w:r>
        <w:rPr>
          <w:rFonts w:hint="eastAsia" w:ascii="宋体" w:hAnsi="宋体"/>
          <w:color w:val="auto"/>
        </w:rPr>
        <w:t>（</w:t>
      </w:r>
      <w:r>
        <w:rPr>
          <w:rFonts w:ascii="宋体" w:hAnsi="宋体"/>
          <w:color w:val="auto"/>
        </w:rPr>
        <w:t>12</w:t>
      </w:r>
      <w:r>
        <w:rPr>
          <w:rFonts w:hint="eastAsia" w:ascii="宋体" w:hAnsi="宋体"/>
          <w:color w:val="auto"/>
        </w:rPr>
        <w:t>）投标单位在投标时参考的主材品牌除满足设计、国家有关技术标准外，品质还需不低于招标控制价参考品牌。在工程实施阶段，承包人采购的主材产品，需经监理工程师及发包人审批同意方可采购。</w:t>
      </w:r>
    </w:p>
    <w:p>
      <w:pPr>
        <w:spacing w:line="360" w:lineRule="auto"/>
        <w:rPr>
          <w:rFonts w:ascii="宋体" w:hAnsi="宋体"/>
          <w:color w:val="auto"/>
        </w:rPr>
      </w:pPr>
      <w:r>
        <w:rPr>
          <w:rFonts w:hint="eastAsia" w:ascii="宋体" w:hAnsi="宋体"/>
          <w:color w:val="auto"/>
        </w:rPr>
        <w:t>（</w:t>
      </w:r>
      <w:r>
        <w:rPr>
          <w:rFonts w:ascii="宋体" w:hAnsi="宋体"/>
          <w:color w:val="auto"/>
        </w:rPr>
        <w:t>13</w:t>
      </w:r>
      <w:r>
        <w:rPr>
          <w:rFonts w:hint="eastAsia" w:ascii="宋体" w:hAnsi="宋体"/>
          <w:color w:val="auto"/>
        </w:rPr>
        <w:t>）设计变更及合同价款调整</w:t>
      </w:r>
    </w:p>
    <w:p>
      <w:pPr>
        <w:spacing w:line="360" w:lineRule="auto"/>
        <w:rPr>
          <w:rFonts w:ascii="宋体" w:hAnsi="宋体"/>
          <w:color w:val="auto"/>
        </w:rPr>
      </w:pPr>
      <w:r>
        <w:rPr>
          <w:rFonts w:ascii="宋体" w:hAnsi="宋体"/>
          <w:color w:val="auto"/>
        </w:rPr>
        <w:t xml:space="preserve">    </w:t>
      </w:r>
      <w:r>
        <w:rPr>
          <w:rFonts w:hint="eastAsia" w:ascii="宋体" w:hAnsi="宋体"/>
          <w:color w:val="auto"/>
        </w:rPr>
        <w:t>由于非承包方原因，由设计单位所作的工程修改、变更，按以下方式结算：</w:t>
      </w:r>
    </w:p>
    <w:p>
      <w:pPr>
        <w:pStyle w:val="63"/>
        <w:widowControl w:val="0"/>
        <w:numPr>
          <w:ilvl w:val="0"/>
          <w:numId w:val="10"/>
        </w:numPr>
        <w:spacing w:line="360" w:lineRule="auto"/>
        <w:ind w:left="0" w:firstLine="0" w:firstLineChars="0"/>
        <w:jc w:val="both"/>
        <w:rPr>
          <w:rFonts w:ascii="宋体" w:hAnsi="宋体"/>
          <w:color w:val="auto"/>
        </w:rPr>
      </w:pPr>
      <w:r>
        <w:rPr>
          <w:rFonts w:hint="eastAsia" w:ascii="宋体" w:hAnsi="宋体"/>
          <w:color w:val="auto"/>
        </w:rPr>
        <w:t>合同中已有使用于变更工程的单价，按合同已有的单价变更合同价款。</w:t>
      </w:r>
    </w:p>
    <w:p>
      <w:pPr>
        <w:pStyle w:val="63"/>
        <w:widowControl w:val="0"/>
        <w:numPr>
          <w:ilvl w:val="0"/>
          <w:numId w:val="10"/>
        </w:numPr>
        <w:spacing w:line="360" w:lineRule="auto"/>
        <w:ind w:left="0" w:firstLine="0" w:firstLineChars="0"/>
        <w:jc w:val="both"/>
        <w:rPr>
          <w:rFonts w:ascii="宋体" w:hAnsi="宋体"/>
          <w:color w:val="auto"/>
        </w:rPr>
      </w:pPr>
      <w:r>
        <w:rPr>
          <w:rFonts w:hint="eastAsia" w:ascii="宋体" w:hAnsi="宋体"/>
          <w:color w:val="auto"/>
        </w:rPr>
        <w:t>合同中已有类似于变更工程的单价，可参照类似单价变更合同价款。</w:t>
      </w:r>
    </w:p>
    <w:p>
      <w:pPr>
        <w:pStyle w:val="63"/>
        <w:spacing w:line="360" w:lineRule="auto"/>
        <w:ind w:left="0" w:leftChars="0" w:firstLine="0" w:firstLineChars="0"/>
        <w:rPr>
          <w:rFonts w:ascii="宋体" w:hAnsi="宋体"/>
          <w:color w:val="auto"/>
        </w:rPr>
      </w:pPr>
      <w:r>
        <w:rPr>
          <w:rFonts w:ascii="宋体" w:hAnsi="宋体"/>
          <w:color w:val="auto"/>
        </w:rPr>
        <w:t>3</w:t>
      </w:r>
      <w:r>
        <w:rPr>
          <w:rFonts w:hint="eastAsia" w:ascii="宋体" w:hAnsi="宋体"/>
          <w:color w:val="auto"/>
        </w:rPr>
        <w:t>）合同中没有使用或类似变更工程的单价，按照广东省建设工程计价依据、工程所在地造价管理机构有关规定和发布的价格信息，依据工程变更签证，由承包方提出适当的变更价格，按本招标说明的规定作出预算经财政局审核后结算；结算单价按中标价与招标控制价的相应比例折算执行。变更、修改设计的工程内容施工单位不得拒绝承担，所增减工程的工程量不超过中标工程量的</w:t>
      </w:r>
      <w:r>
        <w:rPr>
          <w:rFonts w:ascii="宋体" w:hAnsi="宋体"/>
          <w:color w:val="auto"/>
        </w:rPr>
        <w:t>10%</w:t>
      </w:r>
      <w:r>
        <w:rPr>
          <w:rFonts w:hint="eastAsia" w:ascii="宋体" w:hAnsi="宋体"/>
          <w:color w:val="auto"/>
        </w:rPr>
        <w:t>，工期不作调整。如因设计、规划调整变更等原因，招标人有权调整招标范围和内容。</w:t>
      </w:r>
    </w:p>
    <w:p>
      <w:pPr>
        <w:spacing w:line="360" w:lineRule="auto"/>
        <w:rPr>
          <w:rFonts w:ascii="宋体" w:hAnsi="宋体"/>
          <w:color w:val="auto"/>
        </w:rPr>
      </w:pPr>
      <w:r>
        <w:rPr>
          <w:rFonts w:hint="eastAsia" w:ascii="宋体" w:hAnsi="宋体"/>
          <w:color w:val="auto"/>
        </w:rPr>
        <w:t>（</w:t>
      </w:r>
      <w:r>
        <w:rPr>
          <w:rFonts w:ascii="宋体" w:hAnsi="宋体"/>
          <w:color w:val="auto"/>
        </w:rPr>
        <w:t>14</w:t>
      </w:r>
      <w:r>
        <w:rPr>
          <w:rFonts w:hint="eastAsia" w:ascii="宋体" w:hAnsi="宋体"/>
          <w:color w:val="auto"/>
        </w:rPr>
        <w:t>）竣工验收及移交</w:t>
      </w:r>
    </w:p>
    <w:p>
      <w:pPr>
        <w:spacing w:line="360" w:lineRule="auto"/>
        <w:ind w:firstLine="480" w:firstLineChars="200"/>
        <w:rPr>
          <w:rFonts w:ascii="宋体" w:hAnsi="宋体"/>
          <w:color w:val="auto"/>
        </w:rPr>
      </w:pPr>
      <w:r>
        <w:rPr>
          <w:rFonts w:hint="eastAsia" w:ascii="宋体" w:hAnsi="宋体"/>
          <w:color w:val="auto"/>
        </w:rPr>
        <w:t>承包单位按相关专业部门的要求，编制竣工技术文件，并在向招标人提供竣工报告的同时一起移交，工程竣工验收报告经招标人认可后</w:t>
      </w:r>
      <w:r>
        <w:rPr>
          <w:rFonts w:ascii="宋体" w:hAnsi="宋体"/>
          <w:color w:val="auto"/>
        </w:rPr>
        <w:t>28</w:t>
      </w:r>
      <w:r>
        <w:rPr>
          <w:rFonts w:hint="eastAsia" w:ascii="宋体" w:hAnsi="宋体"/>
          <w:color w:val="auto"/>
        </w:rPr>
        <w:t>天内，承包单位按有关要求向招标人递交竣工结算报告及完整的结算资料，双方按照协议书约定的合同价款及专用条款约定的合同价款调整内容，进行工程竣工结算。</w:t>
      </w:r>
    </w:p>
    <w:p>
      <w:pPr>
        <w:spacing w:line="360" w:lineRule="auto"/>
        <w:ind w:firstLine="480" w:firstLineChars="200"/>
        <w:rPr>
          <w:rFonts w:ascii="宋体" w:hAnsi="宋体"/>
          <w:color w:val="auto"/>
        </w:rPr>
      </w:pPr>
      <w:r>
        <w:rPr>
          <w:rFonts w:hint="eastAsia" w:ascii="宋体" w:hAnsi="宋体"/>
          <w:color w:val="auto"/>
        </w:rPr>
        <w:t>本工程承包单位须按</w:t>
      </w:r>
      <w:r>
        <w:rPr>
          <w:rFonts w:hint="eastAsia" w:ascii="宋体" w:hAnsi="宋体"/>
          <w:color w:val="auto"/>
          <w:lang w:eastAsia="zh-CN"/>
        </w:rPr>
        <w:t>适用于本项目的要求</w:t>
      </w:r>
      <w:r>
        <w:rPr>
          <w:rFonts w:hint="eastAsia" w:ascii="宋体" w:hAnsi="宋体"/>
          <w:color w:val="auto"/>
        </w:rPr>
        <w:t>编制相关工程技术资料；除纸质技术资料外，还须提供电子文档（包括竣工图）。</w:t>
      </w:r>
    </w:p>
    <w:p>
      <w:pPr>
        <w:spacing w:line="360" w:lineRule="auto"/>
        <w:rPr>
          <w:rFonts w:ascii="宋体" w:hAnsi="宋体"/>
          <w:color w:val="auto"/>
        </w:rPr>
      </w:pPr>
      <w:r>
        <w:rPr>
          <w:rFonts w:hint="eastAsia" w:ascii="宋体" w:hAnsi="宋体"/>
          <w:color w:val="auto"/>
        </w:rPr>
        <w:t>（</w:t>
      </w:r>
      <w:r>
        <w:rPr>
          <w:rFonts w:ascii="宋体" w:hAnsi="宋体"/>
          <w:color w:val="auto"/>
        </w:rPr>
        <w:t>15</w:t>
      </w:r>
      <w:r>
        <w:rPr>
          <w:rFonts w:hint="eastAsia" w:ascii="宋体" w:hAnsi="宋体"/>
          <w:color w:val="auto"/>
        </w:rPr>
        <w:t>）</w:t>
      </w:r>
      <w:r>
        <w:rPr>
          <w:rFonts w:hint="eastAsia" w:ascii="宋体" w:hAnsi="宋体"/>
          <w:color w:val="auto"/>
        </w:rPr>
        <w:t>工程质量保修期及保修金</w:t>
      </w:r>
    </w:p>
    <w:p>
      <w:pPr>
        <w:spacing w:line="360" w:lineRule="auto"/>
        <w:ind w:firstLine="480" w:firstLineChars="200"/>
        <w:rPr>
          <w:rFonts w:ascii="宋体" w:hAnsi="宋体"/>
          <w:color w:val="auto"/>
        </w:rPr>
      </w:pPr>
      <w:r>
        <w:rPr>
          <w:rFonts w:hint="eastAsia" w:ascii="宋体" w:hAnsi="宋体"/>
          <w:color w:val="auto"/>
          <w:lang w:eastAsia="zh-CN"/>
        </w:rPr>
        <w:t>本项目</w:t>
      </w:r>
      <w:r>
        <w:rPr>
          <w:rFonts w:hint="eastAsia" w:ascii="宋体" w:hAnsi="宋体"/>
          <w:color w:val="auto"/>
        </w:rPr>
        <w:t>工程质量保修期</w:t>
      </w:r>
      <w:r>
        <w:rPr>
          <w:rFonts w:hint="eastAsia" w:ascii="宋体" w:hAnsi="宋体"/>
          <w:color w:val="auto"/>
          <w:lang w:eastAsia="zh-CN"/>
        </w:rPr>
        <w:t>为</w:t>
      </w:r>
      <w:r>
        <w:rPr>
          <w:rFonts w:hint="eastAsia" w:ascii="宋体" w:hAnsi="宋体"/>
          <w:color w:val="auto"/>
          <w:lang w:val="en-US" w:eastAsia="zh-CN"/>
        </w:rPr>
        <w:t>1年，</w:t>
      </w:r>
      <w:r>
        <w:rPr>
          <w:rFonts w:hint="eastAsia" w:ascii="宋体" w:hAnsi="宋体"/>
          <w:color w:val="auto"/>
        </w:rPr>
        <w:t>中标人在向招标人提交工程竣工验收报告时，向招标人出具质量保修书，如属施工质量引起的问题，由中标方全部负责并无偿保修。质量保修金的预留及支付按国家、省及本市现行规定执行。</w:t>
      </w:r>
    </w:p>
    <w:p>
      <w:pPr>
        <w:pStyle w:val="74"/>
        <w:numPr>
          <w:ilvl w:val="0"/>
          <w:numId w:val="11"/>
        </w:numPr>
        <w:spacing w:line="360" w:lineRule="auto"/>
        <w:ind w:firstLineChars="0"/>
        <w:rPr>
          <w:rFonts w:ascii="宋体" w:hAnsi="宋体"/>
          <w:color w:val="auto"/>
        </w:rPr>
      </w:pPr>
      <w:r>
        <w:rPr>
          <w:rFonts w:hint="eastAsia" w:ascii="宋体" w:hAnsi="宋体"/>
          <w:color w:val="auto"/>
        </w:rPr>
        <w:t>工程价款支付</w:t>
      </w:r>
    </w:p>
    <w:p>
      <w:pPr>
        <w:pageBreakBefore w:val="0"/>
        <w:numPr>
          <w:ilvl w:val="0"/>
          <w:numId w:val="12"/>
        </w:numPr>
        <w:tabs>
          <w:tab w:val="left" w:pos="480"/>
        </w:tabs>
        <w:kinsoku/>
        <w:wordWrap/>
        <w:overflowPunct/>
        <w:topLinePunct w:val="0"/>
        <w:autoSpaceDE/>
        <w:autoSpaceDN/>
        <w:bidi w:val="0"/>
        <w:adjustRightInd/>
        <w:snapToGrid/>
        <w:spacing w:line="360" w:lineRule="auto"/>
        <w:ind w:left="5" w:leftChars="0" w:firstLine="235" w:firstLineChars="0"/>
        <w:textAlignment w:val="auto"/>
        <w:rPr>
          <w:rFonts w:ascii="宋体" w:hAnsi="宋体"/>
          <w:color w:val="auto"/>
        </w:rPr>
      </w:pPr>
      <w:r>
        <w:rPr>
          <w:rFonts w:hint="eastAsia" w:ascii="宋体" w:hAnsi="宋体"/>
          <w:color w:val="auto"/>
          <w:lang w:eastAsia="zh-CN"/>
        </w:rPr>
        <w:t>本项目的合同款按每月实际完成工程量计算，经监理人核实，投标人提供进度证明后</w:t>
      </w:r>
      <w:r>
        <w:rPr>
          <w:rFonts w:hint="eastAsia" w:ascii="宋体" w:hAnsi="宋体"/>
          <w:color w:val="auto"/>
          <w:lang w:val="en-US" w:eastAsia="zh-CN"/>
        </w:rPr>
        <w:t>10个自然日内，招标人根据施工进度向中标人支付合同款，终验前支付金额至本合同总金额的80%，项目完成终验后10个自然日内支付至合同金额的100%</w:t>
      </w:r>
      <w:r>
        <w:rPr>
          <w:rFonts w:hint="eastAsia" w:ascii="宋体" w:hAnsi="宋体"/>
          <w:color w:val="auto"/>
        </w:rPr>
        <w:t>。</w:t>
      </w:r>
    </w:p>
    <w:p>
      <w:pPr>
        <w:pStyle w:val="2"/>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Times New Roman"/>
          <w:b w:val="0"/>
          <w:bCs w:val="0"/>
          <w:color w:val="auto"/>
          <w:kern w:val="0"/>
          <w:sz w:val="24"/>
          <w:szCs w:val="24"/>
          <w:lang w:val="en-US" w:eastAsia="zh-CN" w:bidi="ar-SA"/>
        </w:rPr>
      </w:pPr>
      <w:r>
        <w:rPr>
          <w:rFonts w:hint="eastAsia" w:ascii="宋体" w:hAnsi="宋体" w:eastAsia="宋体" w:cs="Times New Roman"/>
          <w:b w:val="0"/>
          <w:bCs w:val="0"/>
          <w:color w:val="auto"/>
          <w:kern w:val="0"/>
          <w:sz w:val="24"/>
          <w:szCs w:val="24"/>
          <w:lang w:val="en-US" w:eastAsia="zh-CN" w:bidi="ar-SA"/>
        </w:rPr>
        <w:t>具体计算方法如下公式：</w:t>
      </w:r>
    </w:p>
    <w:p>
      <w:pPr>
        <w:pageBreakBefore w:val="0"/>
        <w:kinsoku/>
        <w:wordWrap/>
        <w:overflowPunct/>
        <w:topLinePunct w:val="0"/>
        <w:autoSpaceDE/>
        <w:autoSpaceDN/>
        <w:bidi w:val="0"/>
        <w:adjustRightInd/>
        <w:snapToGrid/>
        <w:spacing w:line="360" w:lineRule="auto"/>
        <w:ind w:left="480" w:leftChars="200" w:firstLine="0" w:firstLineChars="0"/>
        <w:textAlignment w:val="auto"/>
        <w:rPr>
          <w:rFonts w:hint="eastAsia" w:ascii="宋体" w:hAnsi="宋体" w:eastAsia="宋体" w:cs="Times New Roman"/>
          <w:b w:val="0"/>
          <w:bCs w:val="0"/>
          <w:color w:val="auto"/>
          <w:kern w:val="0"/>
          <w:sz w:val="24"/>
          <w:szCs w:val="24"/>
          <w:lang w:val="en-US" w:eastAsia="zh-CN" w:bidi="ar-SA"/>
        </w:rPr>
      </w:pPr>
      <w:r>
        <w:rPr>
          <w:rFonts w:hint="eastAsia" w:ascii="宋体" w:hAnsi="宋体" w:eastAsia="宋体" w:cs="Times New Roman"/>
          <w:b w:val="0"/>
          <w:bCs w:val="0"/>
          <w:color w:val="auto"/>
          <w:kern w:val="0"/>
          <w:sz w:val="24"/>
          <w:szCs w:val="24"/>
          <w:lang w:val="en-US" w:eastAsia="zh-CN" w:bidi="ar-SA"/>
        </w:rPr>
        <w:t>终验前支付金额=合同金额*（施工验收进度*80%）</w:t>
      </w:r>
    </w:p>
    <w:p>
      <w:pPr>
        <w:pStyle w:val="2"/>
        <w:pageBreakBefore w:val="0"/>
        <w:kinsoku/>
        <w:wordWrap/>
        <w:overflowPunct/>
        <w:topLinePunct w:val="0"/>
        <w:autoSpaceDE/>
        <w:autoSpaceDN/>
        <w:bidi w:val="0"/>
        <w:adjustRightInd/>
        <w:snapToGrid/>
        <w:spacing w:line="360" w:lineRule="auto"/>
        <w:ind w:left="480" w:leftChars="200" w:firstLine="0" w:firstLineChars="0"/>
        <w:textAlignment w:val="auto"/>
        <w:rPr>
          <w:rFonts w:hint="default" w:ascii="宋体" w:hAnsi="宋体" w:eastAsia="宋体" w:cs="Times New Roman"/>
          <w:b w:val="0"/>
          <w:bCs w:val="0"/>
          <w:color w:val="auto"/>
          <w:kern w:val="0"/>
          <w:sz w:val="24"/>
          <w:szCs w:val="24"/>
          <w:lang w:val="en-US" w:eastAsia="zh-CN" w:bidi="ar-SA"/>
        </w:rPr>
      </w:pPr>
      <w:r>
        <w:rPr>
          <w:rFonts w:hint="eastAsia" w:ascii="宋体" w:hAnsi="宋体" w:eastAsia="宋体" w:cs="Times New Roman"/>
          <w:b w:val="0"/>
          <w:bCs w:val="0"/>
          <w:color w:val="auto"/>
          <w:kern w:val="0"/>
          <w:sz w:val="24"/>
          <w:szCs w:val="24"/>
          <w:lang w:val="en-US" w:eastAsia="zh-CN" w:bidi="ar-SA"/>
        </w:rPr>
        <w:t>终验后支付金额=合同金额*（施工验收进度*100%）</w:t>
      </w:r>
    </w:p>
    <w:p>
      <w:pPr>
        <w:numPr>
          <w:ilvl w:val="0"/>
          <w:numId w:val="12"/>
        </w:numPr>
        <w:tabs>
          <w:tab w:val="left" w:pos="480"/>
        </w:tabs>
        <w:spacing w:line="360" w:lineRule="auto"/>
        <w:ind w:left="5" w:leftChars="0" w:firstLine="235" w:firstLineChars="0"/>
        <w:rPr>
          <w:rFonts w:ascii="宋体" w:hAnsi="宋体"/>
          <w:color w:val="auto"/>
        </w:rPr>
      </w:pPr>
      <w:r>
        <w:rPr>
          <w:rFonts w:hint="eastAsia" w:ascii="宋体" w:hAnsi="宋体"/>
          <w:color w:val="auto"/>
        </w:rPr>
        <w:t>中标单位在每次收取工程进度款时须向建设单位出具相关税务机构的税务发票。</w:t>
      </w:r>
    </w:p>
    <w:p>
      <w:pPr>
        <w:spacing w:line="360" w:lineRule="auto"/>
        <w:rPr>
          <w:rFonts w:ascii="宋体" w:hAnsi="宋体"/>
          <w:b/>
          <w:color w:val="auto"/>
        </w:rPr>
      </w:pPr>
      <w:r>
        <w:rPr>
          <w:rFonts w:hint="eastAsia" w:ascii="宋体" w:hAnsi="宋体"/>
          <w:b/>
          <w:color w:val="auto"/>
        </w:rPr>
        <w:t>（</w:t>
      </w:r>
      <w:r>
        <w:rPr>
          <w:rFonts w:ascii="宋体" w:hAnsi="宋体"/>
          <w:b/>
          <w:color w:val="auto"/>
        </w:rPr>
        <w:t>17</w:t>
      </w:r>
      <w:r>
        <w:rPr>
          <w:rFonts w:hint="eastAsia" w:ascii="宋体" w:hAnsi="宋体"/>
          <w:b/>
          <w:color w:val="auto"/>
        </w:rPr>
        <w:t>）罚则</w:t>
      </w:r>
    </w:p>
    <w:p>
      <w:pPr>
        <w:numPr>
          <w:ilvl w:val="0"/>
          <w:numId w:val="13"/>
        </w:numPr>
        <w:tabs>
          <w:tab w:val="left" w:pos="480"/>
        </w:tabs>
        <w:spacing w:line="360" w:lineRule="auto"/>
        <w:ind w:left="5" w:leftChars="0" w:firstLine="235" w:firstLineChars="0"/>
        <w:rPr>
          <w:rFonts w:ascii="宋体" w:hAnsi="宋体"/>
          <w:color w:val="auto"/>
        </w:rPr>
      </w:pPr>
      <w:r>
        <w:rPr>
          <w:rFonts w:hint="eastAsia" w:ascii="宋体" w:hAnsi="宋体"/>
          <w:color w:val="auto"/>
        </w:rPr>
        <w:t>放弃中标的投标人的投标保证金均被没收，招标人将保留追究其责任的权利，并上报建设行政主管部门对其进行处罚。</w:t>
      </w:r>
    </w:p>
    <w:p>
      <w:pPr>
        <w:numPr>
          <w:ilvl w:val="0"/>
          <w:numId w:val="13"/>
        </w:numPr>
        <w:tabs>
          <w:tab w:val="left" w:pos="480"/>
        </w:tabs>
        <w:spacing w:line="360" w:lineRule="auto"/>
        <w:ind w:left="5" w:leftChars="0" w:firstLine="235" w:firstLineChars="0"/>
        <w:rPr>
          <w:rFonts w:ascii="宋体" w:hAnsi="宋体"/>
          <w:color w:val="auto"/>
        </w:rPr>
      </w:pPr>
      <w:r>
        <w:rPr>
          <w:rFonts w:hint="eastAsia" w:ascii="宋体" w:hAnsi="宋体"/>
          <w:color w:val="auto"/>
        </w:rPr>
        <w:t>因承包单位责任达不到合同工期的，</w:t>
      </w:r>
      <w:r>
        <w:rPr>
          <w:rFonts w:hint="eastAsia" w:ascii="宋体" w:hAnsi="宋体"/>
          <w:b/>
          <w:bCs/>
          <w:color w:val="auto"/>
        </w:rPr>
        <w:t>每推迟一天罚款</w:t>
      </w:r>
      <w:r>
        <w:rPr>
          <w:rFonts w:hint="eastAsia" w:ascii="宋体" w:hAnsi="宋体"/>
          <w:b/>
          <w:bCs/>
          <w:color w:val="auto"/>
          <w:u w:val="single"/>
        </w:rPr>
        <w:t>2000</w:t>
      </w:r>
      <w:r>
        <w:rPr>
          <w:rFonts w:hint="eastAsia" w:ascii="宋体" w:hAnsi="宋体"/>
          <w:b/>
          <w:bCs/>
          <w:color w:val="auto"/>
        </w:rPr>
        <w:t>元，累计罚金总额不超过结算价的10%。</w:t>
      </w:r>
    </w:p>
    <w:p>
      <w:pPr>
        <w:numPr>
          <w:ilvl w:val="0"/>
          <w:numId w:val="13"/>
        </w:numPr>
        <w:tabs>
          <w:tab w:val="left" w:pos="480"/>
        </w:tabs>
        <w:spacing w:line="360" w:lineRule="auto"/>
        <w:ind w:left="5" w:leftChars="0" w:firstLine="235" w:firstLineChars="0"/>
        <w:rPr>
          <w:rFonts w:ascii="宋体" w:hAnsi="宋体"/>
          <w:color w:val="auto"/>
        </w:rPr>
      </w:pPr>
      <w:r>
        <w:rPr>
          <w:rFonts w:hint="eastAsia" w:ascii="宋体" w:hAnsi="宋体"/>
          <w:color w:val="auto"/>
        </w:rPr>
        <w:t>对无视安全施工和文明施工要求，对建设等方所提的整改意见不见成效，按《生产安全事故报告和调查处理条例》和《广东省建设厅建筑工程安全生产动态管理办法》处罚。</w:t>
      </w:r>
    </w:p>
    <w:p>
      <w:pPr>
        <w:numPr>
          <w:ilvl w:val="0"/>
          <w:numId w:val="13"/>
        </w:numPr>
        <w:tabs>
          <w:tab w:val="left" w:pos="480"/>
        </w:tabs>
        <w:spacing w:line="360" w:lineRule="auto"/>
        <w:ind w:left="5" w:leftChars="0" w:firstLine="235" w:firstLineChars="0"/>
        <w:rPr>
          <w:rFonts w:ascii="宋体" w:hAnsi="宋体"/>
          <w:color w:val="auto"/>
        </w:rPr>
      </w:pPr>
      <w:r>
        <w:rPr>
          <w:rFonts w:hint="eastAsia" w:ascii="宋体" w:hAnsi="宋体"/>
          <w:color w:val="auto"/>
        </w:rPr>
        <w:t>本工程中标后不得转包，否则作违约处理，视情节追究企业法人责任，并承担相应的商务损失。</w:t>
      </w:r>
    </w:p>
    <w:p>
      <w:pPr>
        <w:numPr>
          <w:ilvl w:val="0"/>
          <w:numId w:val="13"/>
        </w:numPr>
        <w:tabs>
          <w:tab w:val="left" w:pos="480"/>
        </w:tabs>
        <w:spacing w:line="360" w:lineRule="auto"/>
        <w:ind w:left="5" w:leftChars="0" w:firstLine="235" w:firstLineChars="0"/>
        <w:rPr>
          <w:rFonts w:ascii="宋体" w:hAnsi="宋体"/>
          <w:color w:val="auto"/>
        </w:rPr>
      </w:pPr>
      <w:r>
        <w:rPr>
          <w:rFonts w:hint="eastAsia" w:ascii="宋体" w:hAnsi="宋体"/>
          <w:color w:val="auto"/>
        </w:rPr>
        <w:t>本工程的</w:t>
      </w:r>
      <w:r>
        <w:rPr>
          <w:rFonts w:hint="eastAsia" w:ascii="宋体" w:hAnsi="宋体"/>
          <w:color w:val="auto"/>
          <w:szCs w:val="21"/>
        </w:rPr>
        <w:t>项目负责人</w:t>
      </w:r>
      <w:r>
        <w:rPr>
          <w:rFonts w:hint="eastAsia" w:ascii="宋体" w:hAnsi="宋体"/>
          <w:color w:val="auto"/>
        </w:rPr>
        <w:t>必须在现场实施全过程、全方位的施工管理，不得承担其他工程项目的管理工作。在招标人组织的不定期检查中，若发现违反有关规定的，在招标人提出整改要求后，若没有及时改进或没有实质性相应的，情节严重的招标人有权单方解除施工合同。承包单位应承担相应的商务责任。</w:t>
      </w:r>
    </w:p>
    <w:p>
      <w:pPr>
        <w:numPr>
          <w:ilvl w:val="0"/>
          <w:numId w:val="13"/>
        </w:numPr>
        <w:tabs>
          <w:tab w:val="left" w:pos="480"/>
        </w:tabs>
        <w:spacing w:line="360" w:lineRule="auto"/>
        <w:ind w:left="5" w:leftChars="0" w:firstLine="235" w:firstLineChars="0"/>
        <w:rPr>
          <w:rFonts w:ascii="宋体" w:hAnsi="宋体"/>
          <w:color w:val="auto"/>
        </w:rPr>
      </w:pPr>
      <w:r>
        <w:rPr>
          <w:rFonts w:hint="eastAsia" w:ascii="宋体" w:hAnsi="宋体"/>
          <w:color w:val="auto"/>
        </w:rPr>
        <w:t>承包单位提交的工程竣工资料必须符合建设工程文件归档整理范围的相关规定，工程竣工验收报告经招标人认可后</w:t>
      </w:r>
      <w:r>
        <w:rPr>
          <w:rFonts w:ascii="宋体" w:hAnsi="宋体"/>
          <w:color w:val="auto"/>
        </w:rPr>
        <w:t>28</w:t>
      </w:r>
      <w:r>
        <w:rPr>
          <w:rFonts w:hint="eastAsia" w:ascii="宋体" w:hAnsi="宋体"/>
          <w:color w:val="auto"/>
        </w:rPr>
        <w:t>天内，承包单位须向招标人递交竣工结算报告及完整的结算资料，双方按照协议书约定的合同价款及专用条款约定的合同条款调整内容，进行工程竣工验收</w:t>
      </w:r>
      <w:r>
        <w:rPr>
          <w:rFonts w:ascii="宋体" w:hAnsi="宋体"/>
          <w:color w:val="auto"/>
        </w:rPr>
        <w:t xml:space="preserve"> </w:t>
      </w:r>
      <w:r>
        <w:rPr>
          <w:rFonts w:hint="eastAsia" w:ascii="宋体" w:hAnsi="宋体"/>
          <w:color w:val="auto"/>
        </w:rPr>
        <w:t>，否则扣减工程结算总造价的</w:t>
      </w:r>
      <w:r>
        <w:rPr>
          <w:rFonts w:ascii="宋体" w:hAnsi="宋体"/>
          <w:color w:val="auto"/>
        </w:rPr>
        <w:t>0.5%</w:t>
      </w:r>
      <w:r>
        <w:rPr>
          <w:rFonts w:hint="eastAsia" w:ascii="宋体" w:hAnsi="宋体"/>
          <w:color w:val="auto"/>
        </w:rPr>
        <w:t>，最高扣减不超过</w:t>
      </w:r>
      <w:r>
        <w:rPr>
          <w:rFonts w:ascii="宋体" w:hAnsi="宋体"/>
          <w:color w:val="auto"/>
        </w:rPr>
        <w:t>10</w:t>
      </w:r>
      <w:r>
        <w:rPr>
          <w:rFonts w:hint="eastAsia" w:ascii="宋体" w:hAnsi="宋体"/>
          <w:color w:val="auto"/>
        </w:rPr>
        <w:t>万元，并记录在案，若承包人不按上述规定时间报送结算，发包人可对承包人发催报书面通知；在通知规定期限内仍不报送结算的，发包人有权按已有资料或按已付工程款报办理结算。</w:t>
      </w:r>
    </w:p>
    <w:p>
      <w:pPr>
        <w:spacing w:line="360" w:lineRule="auto"/>
        <w:rPr>
          <w:rFonts w:ascii="宋体" w:hAnsi="宋体"/>
          <w:b/>
          <w:color w:val="auto"/>
          <w:szCs w:val="21"/>
        </w:rPr>
      </w:pPr>
      <w:r>
        <w:rPr>
          <w:rFonts w:hint="eastAsia" w:ascii="宋体" w:hAnsi="宋体"/>
          <w:b/>
          <w:color w:val="auto"/>
          <w:szCs w:val="21"/>
        </w:rPr>
        <w:t>9.3有关事项</w:t>
      </w:r>
    </w:p>
    <w:p>
      <w:pPr>
        <w:pStyle w:val="63"/>
        <w:widowControl w:val="0"/>
        <w:numPr>
          <w:ilvl w:val="0"/>
          <w:numId w:val="14"/>
        </w:numPr>
        <w:tabs>
          <w:tab w:val="left" w:pos="540"/>
        </w:tabs>
        <w:spacing w:line="360" w:lineRule="auto"/>
        <w:ind w:left="426" w:hanging="426" w:firstLineChars="0"/>
        <w:rPr>
          <w:rFonts w:ascii="宋体" w:hAnsi="宋体"/>
          <w:color w:val="auto"/>
        </w:rPr>
      </w:pPr>
      <w:r>
        <w:rPr>
          <w:rFonts w:hint="eastAsia" w:ascii="宋体" w:hAnsi="宋体"/>
          <w:color w:val="auto"/>
        </w:rPr>
        <w:t>开标定标后，中标单位向招标代理缴纳中标服务费后，根据招标代理单位的通知领取《中标通知书》。</w:t>
      </w:r>
    </w:p>
    <w:p>
      <w:pPr>
        <w:pStyle w:val="63"/>
        <w:widowControl w:val="0"/>
        <w:numPr>
          <w:ilvl w:val="0"/>
          <w:numId w:val="14"/>
        </w:numPr>
        <w:tabs>
          <w:tab w:val="left" w:pos="540"/>
        </w:tabs>
        <w:spacing w:line="360" w:lineRule="auto"/>
        <w:ind w:left="426" w:hanging="426" w:firstLineChars="0"/>
        <w:rPr>
          <w:rFonts w:ascii="宋体" w:hAnsi="宋体"/>
          <w:color w:val="auto"/>
        </w:rPr>
      </w:pPr>
      <w:r>
        <w:rPr>
          <w:rFonts w:hint="eastAsia" w:ascii="宋体" w:hAnsi="宋体"/>
          <w:color w:val="auto"/>
        </w:rPr>
        <w:t>中标单位必须在收到中标通知书后30日内与招标人签订施工承发包合同。由于中标人拒签合同，给招标人造成经济损失的，由中标人负责赔偿，并且招标人有权取消中标单位的中标人资格，另行确定中标人或重新招标。</w:t>
      </w:r>
    </w:p>
    <w:p>
      <w:pPr>
        <w:pStyle w:val="63"/>
        <w:widowControl w:val="0"/>
        <w:numPr>
          <w:ilvl w:val="0"/>
          <w:numId w:val="14"/>
        </w:numPr>
        <w:tabs>
          <w:tab w:val="left" w:pos="540"/>
        </w:tabs>
        <w:spacing w:line="360" w:lineRule="auto"/>
        <w:ind w:left="426" w:hanging="426" w:firstLineChars="0"/>
        <w:rPr>
          <w:rFonts w:ascii="宋体" w:hAnsi="宋体"/>
          <w:color w:val="auto"/>
        </w:rPr>
      </w:pPr>
      <w:r>
        <w:rPr>
          <w:rFonts w:hint="eastAsia" w:ascii="宋体" w:hAnsi="宋体"/>
          <w:color w:val="auto"/>
        </w:rPr>
        <w:t>本招标文件未尽事宜或修改说明，以建设单位的通知为准。</w:t>
      </w:r>
    </w:p>
    <w:p>
      <w:pPr>
        <w:pStyle w:val="63"/>
        <w:widowControl w:val="0"/>
        <w:numPr>
          <w:ilvl w:val="0"/>
          <w:numId w:val="14"/>
        </w:numPr>
        <w:tabs>
          <w:tab w:val="left" w:pos="540"/>
        </w:tabs>
        <w:spacing w:line="360" w:lineRule="auto"/>
        <w:ind w:left="426" w:hanging="426" w:firstLineChars="0"/>
        <w:rPr>
          <w:rFonts w:ascii="宋体" w:hAnsi="宋体"/>
          <w:b/>
          <w:color w:val="auto"/>
        </w:rPr>
      </w:pPr>
      <w:r>
        <w:rPr>
          <w:rFonts w:hint="eastAsia" w:ascii="宋体" w:hAnsi="宋体"/>
          <w:b/>
          <w:color w:val="auto"/>
        </w:rPr>
        <w:t>中标后，项目班子成员一般不得随意变更</w:t>
      </w:r>
      <w:r>
        <w:rPr>
          <w:rFonts w:hint="eastAsia" w:ascii="宋体" w:hAnsi="宋体"/>
          <w:b/>
          <w:color w:val="auto"/>
          <w:lang w:eastAsia="zh-CN"/>
        </w:rPr>
        <w:t>，如有特殊情况，须经建设单位同意并符合相关法律法规的情况下变更</w:t>
      </w:r>
      <w:r>
        <w:rPr>
          <w:rFonts w:hint="eastAsia" w:ascii="宋体" w:hAnsi="宋体"/>
          <w:b/>
          <w:color w:val="auto"/>
        </w:rPr>
        <w:t>。</w:t>
      </w:r>
    </w:p>
    <w:p>
      <w:pPr>
        <w:pStyle w:val="63"/>
        <w:widowControl w:val="0"/>
        <w:numPr>
          <w:ilvl w:val="0"/>
          <w:numId w:val="14"/>
        </w:numPr>
        <w:tabs>
          <w:tab w:val="left" w:pos="540"/>
        </w:tabs>
        <w:spacing w:line="360" w:lineRule="auto"/>
        <w:ind w:left="426" w:hanging="426" w:firstLineChars="0"/>
        <w:rPr>
          <w:rFonts w:ascii="宋体" w:hAnsi="宋体"/>
          <w:color w:val="auto"/>
        </w:rPr>
      </w:pPr>
      <w:r>
        <w:rPr>
          <w:rFonts w:hint="eastAsia" w:ascii="宋体" w:hAnsi="宋体"/>
          <w:color w:val="auto"/>
        </w:rPr>
        <w:t>如中标后，中标单位被招标单位发现任何有围标、串标行为的，招标单位有权取消其中标资格，并对该违规单位追究相关责任。如有投标单位出现两次或以上违规行为的，即被列入黑名单位，按相关规定处理。</w:t>
      </w:r>
    </w:p>
    <w:p>
      <w:pPr>
        <w:pStyle w:val="63"/>
        <w:widowControl w:val="0"/>
        <w:numPr>
          <w:ilvl w:val="0"/>
          <w:numId w:val="14"/>
        </w:numPr>
        <w:tabs>
          <w:tab w:val="left" w:pos="540"/>
        </w:tabs>
        <w:spacing w:line="360" w:lineRule="auto"/>
        <w:ind w:left="426" w:hanging="426" w:firstLineChars="0"/>
        <w:rPr>
          <w:rFonts w:ascii="宋体" w:hAnsi="宋体"/>
          <w:color w:val="auto"/>
        </w:rPr>
      </w:pPr>
      <w:r>
        <w:rPr>
          <w:rFonts w:hint="eastAsia" w:ascii="宋体" w:hAnsi="宋体"/>
          <w:color w:val="auto"/>
          <w:szCs w:val="21"/>
        </w:rPr>
        <w:t>人员证书过期的，如能提供相关部门顺延证书有效期的文件，且符合文件规定的，则视为仍然有效。</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sectPr>
          <w:pgSz w:w="11906" w:h="16838"/>
          <w:pgMar w:top="1418" w:right="1134" w:bottom="1418" w:left="1418" w:header="851" w:footer="992" w:gutter="0"/>
          <w:cols w:space="720" w:num="1"/>
          <w:docGrid w:linePitch="312" w:charSpace="0"/>
        </w:sectPr>
      </w:pPr>
    </w:p>
    <w:p>
      <w:pPr>
        <w:pStyle w:val="2"/>
        <w:ind w:left="2" w:hanging="2"/>
        <w:jc w:val="center"/>
        <w:rPr>
          <w:rFonts w:ascii="宋体" w:hAnsi="宋体"/>
          <w:color w:val="auto"/>
        </w:rPr>
      </w:pPr>
      <w:bookmarkStart w:id="30" w:name="_Toc80020747"/>
      <w:r>
        <w:rPr>
          <w:rFonts w:hint="eastAsia" w:ascii="宋体" w:hAnsi="宋体"/>
          <w:color w:val="auto"/>
        </w:rPr>
        <w:t>第三章  评标办法</w:t>
      </w:r>
      <w:bookmarkEnd w:id="30"/>
    </w:p>
    <w:p>
      <w:pPr>
        <w:widowControl w:val="0"/>
        <w:numPr>
          <w:ilvl w:val="0"/>
          <w:numId w:val="15"/>
        </w:numPr>
        <w:tabs>
          <w:tab w:val="left" w:pos="426"/>
          <w:tab w:val="left" w:pos="709"/>
          <w:tab w:val="left" w:pos="1134"/>
        </w:tabs>
        <w:spacing w:line="360" w:lineRule="auto"/>
        <w:ind w:left="425" w:leftChars="0" w:hanging="425" w:firstLineChars="0"/>
        <w:rPr>
          <w:rFonts w:ascii="宋体" w:hAnsi="宋体"/>
          <w:b/>
          <w:bCs/>
          <w:color w:val="auto"/>
        </w:rPr>
      </w:pPr>
      <w:r>
        <w:rPr>
          <w:rFonts w:hint="eastAsia" w:ascii="宋体" w:hAnsi="宋体"/>
          <w:b/>
          <w:bCs/>
          <w:color w:val="auto"/>
        </w:rPr>
        <w:t>开标</w:t>
      </w:r>
    </w:p>
    <w:p>
      <w:pPr>
        <w:widowControl w:val="0"/>
        <w:spacing w:line="360" w:lineRule="auto"/>
        <w:ind w:left="-94" w:firstLine="425"/>
        <w:rPr>
          <w:rFonts w:ascii="宋体" w:hAnsi="宋体"/>
          <w:color w:val="auto"/>
        </w:rPr>
      </w:pPr>
      <w:r>
        <w:rPr>
          <w:rFonts w:hint="eastAsia" w:ascii="宋体" w:hAnsi="宋体"/>
          <w:color w:val="auto"/>
        </w:rPr>
        <w:t>开标时间及地点：招标人（招标代理机构）在规定的开标日期、时间和地点组织公开开标。投标人的法定代表人（或委托代理人）参加开标会议，并在招标代理机构指定的登记册上签名报到以证明其出席。未出席开标会议或在</w:t>
      </w:r>
      <w:r>
        <w:rPr>
          <w:rFonts w:hint="eastAsia" w:ascii="宋体" w:hAnsi="宋体"/>
          <w:color w:val="auto"/>
          <w:lang w:eastAsia="zh-CN"/>
        </w:rPr>
        <w:t>开</w:t>
      </w:r>
      <w:r>
        <w:rPr>
          <w:rFonts w:hint="eastAsia" w:ascii="宋体" w:hAnsi="宋体"/>
          <w:color w:val="auto"/>
        </w:rPr>
        <w:t>标会结束前不在会议现场的投标人，则招标代理机构可宣布</w:t>
      </w:r>
      <w:r>
        <w:rPr>
          <w:rFonts w:hint="eastAsia" w:ascii="宋体" w:hAnsi="宋体"/>
          <w:color w:val="auto"/>
          <w:lang w:eastAsia="zh-CN"/>
        </w:rPr>
        <w:t>其认同开标会议内容</w:t>
      </w:r>
      <w:r>
        <w:rPr>
          <w:rFonts w:hint="eastAsia" w:ascii="宋体" w:hAnsi="宋体"/>
          <w:color w:val="auto"/>
        </w:rPr>
        <w:t>。</w:t>
      </w:r>
    </w:p>
    <w:p>
      <w:pPr>
        <w:widowControl w:val="0"/>
        <w:tabs>
          <w:tab w:val="left" w:pos="540"/>
        </w:tabs>
        <w:spacing w:line="360" w:lineRule="auto"/>
        <w:ind w:left="-93" w:firstLine="425"/>
        <w:rPr>
          <w:rFonts w:ascii="宋体" w:hAnsi="宋体"/>
          <w:b/>
          <w:bCs/>
          <w:color w:val="auto"/>
        </w:rPr>
      </w:pPr>
      <w:r>
        <w:rPr>
          <w:rFonts w:hint="eastAsia" w:ascii="宋体" w:hAnsi="宋体"/>
          <w:b/>
          <w:bCs/>
          <w:color w:val="auto"/>
        </w:rPr>
        <w:t>符合性审查，审查的主要内容有（由招标代理负责）</w:t>
      </w:r>
    </w:p>
    <w:p>
      <w:pPr>
        <w:widowControl w:val="0"/>
        <w:tabs>
          <w:tab w:val="left" w:pos="540"/>
        </w:tabs>
        <w:spacing w:line="360" w:lineRule="auto"/>
        <w:ind w:left="-94" w:firstLine="425"/>
        <w:rPr>
          <w:rFonts w:ascii="宋体" w:hAnsi="宋体"/>
          <w:bCs/>
          <w:color w:val="auto"/>
        </w:rPr>
      </w:pPr>
      <w:r>
        <w:rPr>
          <w:rFonts w:hint="eastAsia" w:ascii="宋体" w:hAnsi="宋体"/>
          <w:bCs/>
          <w:color w:val="auto"/>
        </w:rPr>
        <w:t>1）投标文件是否在投标截止时间前提交；</w:t>
      </w:r>
    </w:p>
    <w:p>
      <w:pPr>
        <w:widowControl w:val="0"/>
        <w:tabs>
          <w:tab w:val="left" w:pos="720"/>
        </w:tabs>
        <w:spacing w:line="360" w:lineRule="auto"/>
        <w:ind w:left="-94" w:firstLine="425"/>
        <w:rPr>
          <w:rFonts w:ascii="宋体" w:hAnsi="宋体"/>
          <w:bCs/>
          <w:color w:val="auto"/>
        </w:rPr>
      </w:pPr>
      <w:r>
        <w:rPr>
          <w:rFonts w:hint="eastAsia" w:ascii="宋体" w:hAnsi="宋体"/>
          <w:bCs/>
          <w:color w:val="auto"/>
        </w:rPr>
        <w:t>2）投标单位的法定代表人或委托代理人是否按规定准时参加开标会议，并检查其法定代表人的</w:t>
      </w:r>
      <w:r>
        <w:rPr>
          <w:rFonts w:hint="eastAsia" w:ascii="宋体" w:hAnsi="宋体"/>
          <w:color w:val="auto"/>
        </w:rPr>
        <w:t>法定代表人身份证明</w:t>
      </w:r>
      <w:r>
        <w:rPr>
          <w:rFonts w:hint="eastAsia" w:ascii="宋体" w:hAnsi="宋体"/>
          <w:bCs/>
          <w:color w:val="auto"/>
        </w:rPr>
        <w:t>和第二代身份证（代理人参加开标会时需检查其</w:t>
      </w:r>
      <w:r>
        <w:rPr>
          <w:rFonts w:hint="eastAsia" w:ascii="宋体" w:hAnsi="宋体"/>
          <w:color w:val="auto"/>
        </w:rPr>
        <w:t>法定代表人身份证明</w:t>
      </w:r>
      <w:r>
        <w:rPr>
          <w:rFonts w:hint="eastAsia" w:ascii="宋体" w:hAnsi="宋体"/>
          <w:bCs/>
          <w:color w:val="auto"/>
        </w:rPr>
        <w:t>、授权委托书和第二代身份证）；</w:t>
      </w:r>
    </w:p>
    <w:p>
      <w:pPr>
        <w:widowControl w:val="0"/>
        <w:tabs>
          <w:tab w:val="left" w:pos="540"/>
        </w:tabs>
        <w:spacing w:line="360" w:lineRule="auto"/>
        <w:ind w:left="-94" w:firstLine="425"/>
        <w:rPr>
          <w:rFonts w:ascii="宋体" w:hAnsi="宋体"/>
          <w:bCs/>
          <w:color w:val="auto"/>
        </w:rPr>
      </w:pPr>
      <w:r>
        <w:rPr>
          <w:rFonts w:hint="eastAsia" w:ascii="宋体" w:hAnsi="宋体"/>
          <w:bCs/>
          <w:color w:val="auto"/>
        </w:rPr>
        <w:t>3）投标文件的密封和标记是否符合招标文件规定；</w:t>
      </w:r>
    </w:p>
    <w:p>
      <w:pPr>
        <w:widowControl w:val="0"/>
        <w:tabs>
          <w:tab w:val="left" w:pos="540"/>
        </w:tabs>
        <w:spacing w:line="360" w:lineRule="auto"/>
        <w:ind w:left="-94" w:firstLine="425"/>
        <w:rPr>
          <w:rFonts w:ascii="宋体" w:hAnsi="宋体"/>
          <w:bCs/>
          <w:color w:val="auto"/>
        </w:rPr>
      </w:pPr>
      <w:r>
        <w:rPr>
          <w:rFonts w:hint="eastAsia" w:ascii="宋体" w:hAnsi="宋体"/>
          <w:bCs/>
          <w:color w:val="auto"/>
        </w:rPr>
        <w:t>4）投标文件的份数、式样和盖章、签署是否符合招标文件规定；</w:t>
      </w:r>
    </w:p>
    <w:p>
      <w:pPr>
        <w:widowControl w:val="0"/>
        <w:tabs>
          <w:tab w:val="left" w:pos="540"/>
        </w:tabs>
        <w:spacing w:line="360" w:lineRule="auto"/>
        <w:ind w:left="-93" w:firstLine="425"/>
        <w:rPr>
          <w:rFonts w:ascii="宋体" w:hAnsi="宋体"/>
          <w:b/>
          <w:bCs/>
          <w:color w:val="auto"/>
        </w:rPr>
      </w:pPr>
      <w:r>
        <w:rPr>
          <w:rFonts w:hint="eastAsia" w:ascii="宋体" w:hAnsi="宋体"/>
          <w:b/>
          <w:bCs/>
          <w:color w:val="auto"/>
        </w:rPr>
        <w:t>投标文件对应于以上审查内容的任何一项为不符合的则不通过符合性审查，投标文件不予受理。符合性审查合格家数不足三家则按规定重新招标。</w:t>
      </w:r>
    </w:p>
    <w:p>
      <w:pPr>
        <w:widowControl w:val="0"/>
        <w:numPr>
          <w:ilvl w:val="0"/>
          <w:numId w:val="15"/>
        </w:numPr>
        <w:tabs>
          <w:tab w:val="left" w:pos="426"/>
          <w:tab w:val="left" w:pos="709"/>
          <w:tab w:val="left" w:pos="1134"/>
        </w:tabs>
        <w:spacing w:line="360" w:lineRule="auto"/>
        <w:ind w:left="425" w:leftChars="0" w:hanging="425" w:firstLineChars="0"/>
        <w:rPr>
          <w:rFonts w:ascii="宋体" w:hAnsi="宋体"/>
          <w:b/>
          <w:color w:val="auto"/>
        </w:rPr>
      </w:pPr>
      <w:r>
        <w:rPr>
          <w:rFonts w:hint="eastAsia" w:ascii="宋体" w:hAnsi="宋体"/>
          <w:b/>
          <w:bCs/>
          <w:color w:val="auto"/>
        </w:rPr>
        <w:t>评标办法：</w:t>
      </w:r>
      <w:r>
        <w:rPr>
          <w:rFonts w:hint="eastAsia" w:ascii="宋体" w:hAnsi="宋体"/>
          <w:b/>
          <w:color w:val="auto"/>
        </w:rPr>
        <w:t>（本次评标采用经评审的最低投标价法。）</w:t>
      </w:r>
    </w:p>
    <w:p>
      <w:pPr>
        <w:spacing w:line="360" w:lineRule="auto"/>
        <w:ind w:firstLine="592" w:firstLineChars="247"/>
        <w:rPr>
          <w:rFonts w:ascii="宋体" w:hAnsi="宋体"/>
          <w:color w:val="auto"/>
        </w:rPr>
      </w:pPr>
      <w:r>
        <w:rPr>
          <w:rFonts w:hint="eastAsia" w:ascii="宋体" w:hAnsi="宋体"/>
          <w:color w:val="auto"/>
        </w:rPr>
        <w:t>在有效的投标报价中，</w:t>
      </w:r>
      <w:r>
        <w:rPr>
          <w:rFonts w:hint="eastAsia" w:ascii="宋体" w:hAnsi="宋体"/>
          <w:color w:val="auto"/>
          <w:szCs w:val="21"/>
          <w:lang w:val="fr-CH"/>
        </w:rPr>
        <w:t>按投标报价从小到大的顺序确定1、2、3......n名次（n为报价有效的投标单位数）。</w:t>
      </w:r>
      <w:r>
        <w:rPr>
          <w:rFonts w:hint="eastAsia" w:ascii="宋体" w:hAnsi="宋体"/>
          <w:color w:val="auto"/>
        </w:rPr>
        <w:t>经评审合格有效的单位达到三家或以上时，则按投标报价排名的先后顺序依次确定中标候选单位：排名第一位的为第一中标候选单位、排名第二位的为第二中标候选单位、排名居第三位的为第三中标候选单位。当合格者不足3家，则评标中止，由招标人重新组织招标。</w:t>
      </w:r>
    </w:p>
    <w:p>
      <w:pPr>
        <w:widowControl w:val="0"/>
        <w:tabs>
          <w:tab w:val="left" w:pos="540"/>
        </w:tabs>
        <w:spacing w:line="360" w:lineRule="auto"/>
        <w:ind w:left="-94" w:firstLine="425"/>
        <w:rPr>
          <w:rFonts w:ascii="宋体" w:hAnsi="宋体"/>
          <w:b/>
          <w:bCs/>
          <w:color w:val="auto"/>
        </w:rPr>
      </w:pPr>
      <w:r>
        <w:rPr>
          <w:rFonts w:hint="eastAsia" w:ascii="宋体" w:hAnsi="宋体"/>
          <w:b/>
          <w:bCs/>
          <w:color w:val="auto"/>
        </w:rPr>
        <w:t>整个评标工作分为</w:t>
      </w:r>
      <w:r>
        <w:rPr>
          <w:rFonts w:hint="eastAsia" w:ascii="宋体" w:hAnsi="宋体"/>
          <w:b/>
          <w:bCs/>
          <w:color w:val="auto"/>
          <w:lang w:eastAsia="zh-CN"/>
        </w:rPr>
        <w:t>三</w:t>
      </w:r>
      <w:r>
        <w:rPr>
          <w:rFonts w:hint="eastAsia" w:ascii="宋体" w:hAnsi="宋体"/>
          <w:b/>
          <w:bCs/>
          <w:color w:val="auto"/>
        </w:rPr>
        <w:t>阶段进行：</w:t>
      </w:r>
    </w:p>
    <w:p>
      <w:pPr>
        <w:spacing w:before="50" w:after="50" w:line="360" w:lineRule="auto"/>
        <w:ind w:left="-93" w:firstLine="425"/>
        <w:rPr>
          <w:rFonts w:ascii="宋体" w:hAnsi="宋体"/>
          <w:b/>
          <w:color w:val="auto"/>
        </w:rPr>
      </w:pPr>
      <w:r>
        <w:rPr>
          <w:rFonts w:hint="eastAsia" w:ascii="宋体" w:hAnsi="宋体"/>
          <w:b/>
          <w:color w:val="auto"/>
        </w:rPr>
        <w:t>（一）第一阶段，进行</w:t>
      </w:r>
      <w:r>
        <w:rPr>
          <w:rFonts w:hint="eastAsia" w:ascii="宋体" w:hAnsi="宋体"/>
          <w:b/>
          <w:color w:val="auto"/>
          <w:lang w:eastAsia="zh-CN"/>
        </w:rPr>
        <w:t>基本资料评审</w:t>
      </w:r>
      <w:r>
        <w:rPr>
          <w:rFonts w:hint="eastAsia" w:ascii="宋体" w:hAnsi="宋体"/>
          <w:b/>
          <w:color w:val="auto"/>
        </w:rPr>
        <w:t>：</w:t>
      </w:r>
    </w:p>
    <w:p>
      <w:pPr>
        <w:numPr>
          <w:ilvl w:val="0"/>
          <w:numId w:val="16"/>
        </w:numPr>
        <w:tabs>
          <w:tab w:val="left" w:pos="480"/>
        </w:tabs>
        <w:spacing w:before="50" w:after="50" w:line="360" w:lineRule="auto"/>
        <w:ind w:left="5" w:leftChars="0" w:firstLine="235" w:firstLineChars="0"/>
        <w:rPr>
          <w:rFonts w:ascii="宋体" w:hAnsi="宋体"/>
          <w:color w:val="auto"/>
          <w:szCs w:val="21"/>
        </w:rPr>
      </w:pPr>
      <w:r>
        <w:rPr>
          <w:rFonts w:hint="eastAsia" w:ascii="宋体" w:hAnsi="宋体"/>
          <w:color w:val="auto"/>
          <w:szCs w:val="21"/>
        </w:rPr>
        <w:t>具备有效的法定代表人身份证明及有效的授权委托书（适用于有代理人的情况）；</w:t>
      </w:r>
    </w:p>
    <w:p>
      <w:pPr>
        <w:numPr>
          <w:ilvl w:val="0"/>
          <w:numId w:val="16"/>
        </w:numPr>
        <w:tabs>
          <w:tab w:val="left" w:pos="480"/>
        </w:tabs>
        <w:spacing w:before="50" w:after="50" w:line="360" w:lineRule="auto"/>
        <w:ind w:left="5" w:leftChars="0" w:firstLine="235" w:firstLineChars="0"/>
        <w:rPr>
          <w:rFonts w:ascii="宋体" w:hAnsi="宋体"/>
          <w:color w:val="auto"/>
          <w:szCs w:val="21"/>
        </w:rPr>
      </w:pPr>
      <w:r>
        <w:rPr>
          <w:rFonts w:hint="eastAsia" w:ascii="宋体" w:hAnsi="宋体"/>
          <w:color w:val="auto"/>
          <w:szCs w:val="21"/>
        </w:rPr>
        <w:t>具备有效的营业执照、资质证、安全生产许可证；</w:t>
      </w:r>
    </w:p>
    <w:p>
      <w:pPr>
        <w:widowControl w:val="0"/>
        <w:numPr>
          <w:ilvl w:val="0"/>
          <w:numId w:val="16"/>
        </w:numPr>
        <w:tabs>
          <w:tab w:val="left" w:pos="480"/>
          <w:tab w:val="left" w:pos="540"/>
        </w:tabs>
        <w:spacing w:line="360" w:lineRule="auto"/>
        <w:ind w:left="5" w:leftChars="0" w:firstLine="235" w:firstLineChars="0"/>
        <w:rPr>
          <w:rFonts w:ascii="宋体" w:hAnsi="宋体"/>
          <w:color w:val="auto"/>
        </w:rPr>
      </w:pPr>
      <w:r>
        <w:rPr>
          <w:rFonts w:hint="eastAsia" w:ascii="宋体" w:hAnsi="宋体"/>
          <w:color w:val="auto"/>
          <w:szCs w:val="21"/>
        </w:rPr>
        <w:t>提供《信用中国》网站的信用报告（加盖投标单位公章）且</w:t>
      </w:r>
      <w:r>
        <w:rPr>
          <w:rFonts w:hint="eastAsia" w:ascii="宋体" w:hAnsi="宋体"/>
          <w:color w:val="auto"/>
        </w:rPr>
        <w:t>未被列为“失信被执行人”</w:t>
      </w:r>
      <w:r>
        <w:rPr>
          <w:rFonts w:hint="eastAsia" w:ascii="宋体" w:hAnsi="宋体"/>
          <w:color w:val="auto"/>
          <w:lang w:eastAsia="zh-CN"/>
        </w:rPr>
        <w:t>，</w:t>
      </w:r>
      <w:r>
        <w:rPr>
          <w:rFonts w:hint="eastAsia" w:ascii="宋体" w:hAnsi="宋体" w:eastAsia="宋体" w:cs="Times New Roman"/>
          <w:color w:val="auto"/>
          <w:szCs w:val="21"/>
          <w:lang w:val="en-US" w:eastAsia="zh-CN"/>
        </w:rPr>
        <w:t>未在国家企业信用信息公示系统被列入“严重违法失信企业名单”</w:t>
      </w:r>
      <w:r>
        <w:rPr>
          <w:rFonts w:hint="eastAsia" w:ascii="宋体" w:hAnsi="宋体"/>
          <w:color w:val="auto"/>
        </w:rPr>
        <w:t>；</w:t>
      </w:r>
    </w:p>
    <w:p>
      <w:pPr>
        <w:widowControl w:val="0"/>
        <w:numPr>
          <w:ilvl w:val="0"/>
          <w:numId w:val="16"/>
        </w:numPr>
        <w:tabs>
          <w:tab w:val="left" w:pos="480"/>
          <w:tab w:val="left" w:pos="540"/>
        </w:tabs>
        <w:spacing w:line="360" w:lineRule="auto"/>
        <w:ind w:left="5" w:leftChars="0" w:firstLine="235" w:firstLineChars="0"/>
        <w:rPr>
          <w:rFonts w:hint="eastAsia" w:ascii="宋体" w:hAnsi="宋体"/>
          <w:bCs/>
          <w:color w:val="auto"/>
        </w:rPr>
      </w:pPr>
      <w:r>
        <w:rPr>
          <w:rFonts w:hint="eastAsia" w:ascii="宋体" w:hAnsi="宋体"/>
          <w:bCs/>
          <w:color w:val="auto"/>
        </w:rPr>
        <w:t>承诺书内容是否满足招标文件要求；</w:t>
      </w:r>
    </w:p>
    <w:p>
      <w:pPr>
        <w:widowControl w:val="0"/>
        <w:numPr>
          <w:ilvl w:val="0"/>
          <w:numId w:val="16"/>
        </w:numPr>
        <w:tabs>
          <w:tab w:val="left" w:pos="480"/>
          <w:tab w:val="left" w:pos="540"/>
        </w:tabs>
        <w:spacing w:line="360" w:lineRule="auto"/>
        <w:ind w:left="5" w:leftChars="0" w:firstLine="235" w:firstLineChars="0"/>
        <w:rPr>
          <w:rFonts w:hint="eastAsia"/>
          <w:color w:val="auto"/>
        </w:rPr>
      </w:pPr>
      <w:r>
        <w:rPr>
          <w:rFonts w:hint="eastAsia"/>
          <w:color w:val="auto"/>
          <w:lang w:eastAsia="zh-CN"/>
        </w:rPr>
        <w:t>基本资料签署、盖章是否符合招标文件要求；</w:t>
      </w:r>
    </w:p>
    <w:p>
      <w:pPr>
        <w:widowControl w:val="0"/>
        <w:tabs>
          <w:tab w:val="left" w:pos="540"/>
        </w:tabs>
        <w:spacing w:line="360" w:lineRule="auto"/>
        <w:ind w:left="-94" w:firstLine="425"/>
        <w:rPr>
          <w:rFonts w:ascii="宋体" w:hAnsi="宋体"/>
          <w:bCs/>
          <w:color w:val="auto"/>
        </w:rPr>
      </w:pPr>
      <w:r>
        <w:rPr>
          <w:rFonts w:hint="eastAsia" w:ascii="宋体" w:hAnsi="宋体"/>
          <w:bCs/>
          <w:color w:val="auto"/>
        </w:rPr>
        <w:t>注：评标时，招标代理机构</w:t>
      </w:r>
      <w:r>
        <w:rPr>
          <w:rFonts w:hint="eastAsia" w:ascii="宋体" w:hAnsi="宋体" w:cs="宋体"/>
          <w:color w:val="auto"/>
        </w:rPr>
        <w:t>登录《信用中国》网站</w:t>
      </w:r>
      <w:r>
        <w:rPr>
          <w:rFonts w:hint="eastAsia" w:ascii="宋体" w:hAnsi="宋体" w:cs="宋体"/>
          <w:color w:val="auto"/>
          <w:lang w:eastAsia="zh-CN"/>
        </w:rPr>
        <w:t>及“</w:t>
      </w:r>
      <w:r>
        <w:rPr>
          <w:rFonts w:hint="eastAsia" w:ascii="宋体" w:hAnsi="宋体" w:eastAsia="宋体" w:cs="Times New Roman"/>
          <w:color w:val="auto"/>
          <w:szCs w:val="21"/>
          <w:lang w:val="en-US" w:eastAsia="zh-CN"/>
        </w:rPr>
        <w:t>国家企业信用信息公示系统</w:t>
      </w:r>
      <w:r>
        <w:rPr>
          <w:rFonts w:hint="eastAsia" w:ascii="宋体" w:hAnsi="宋体" w:cs="宋体"/>
          <w:color w:val="auto"/>
          <w:lang w:eastAsia="zh-CN"/>
        </w:rPr>
        <w:t>”</w:t>
      </w:r>
      <w:r>
        <w:rPr>
          <w:rFonts w:hint="eastAsia" w:ascii="宋体" w:hAnsi="宋体" w:cs="宋体"/>
          <w:color w:val="auto"/>
        </w:rPr>
        <w:t>查询投标人的信用情况。</w:t>
      </w:r>
    </w:p>
    <w:p>
      <w:pPr>
        <w:spacing w:before="50" w:after="50" w:line="360" w:lineRule="auto"/>
        <w:ind w:left="-93" w:firstLine="425"/>
        <w:rPr>
          <w:rFonts w:ascii="宋体" w:hAnsi="宋体"/>
          <w:b/>
          <w:color w:val="auto"/>
        </w:rPr>
      </w:pPr>
      <w:r>
        <w:rPr>
          <w:rFonts w:hint="eastAsia" w:ascii="宋体" w:hAnsi="宋体"/>
          <w:b/>
          <w:color w:val="auto"/>
        </w:rPr>
        <w:t>（二）第二阶段，进行</w:t>
      </w:r>
      <w:r>
        <w:rPr>
          <w:rFonts w:hint="eastAsia" w:ascii="宋体" w:hAnsi="宋体"/>
          <w:b/>
          <w:color w:val="auto"/>
          <w:lang w:eastAsia="zh-CN"/>
        </w:rPr>
        <w:t>经济标函</w:t>
      </w:r>
      <w:r>
        <w:rPr>
          <w:rFonts w:hint="eastAsia" w:ascii="宋体" w:hAnsi="宋体"/>
          <w:b/>
          <w:color w:val="auto"/>
        </w:rPr>
        <w:t>评审：</w:t>
      </w:r>
    </w:p>
    <w:p>
      <w:pPr>
        <w:spacing w:before="50" w:after="50" w:line="360" w:lineRule="auto"/>
        <w:ind w:left="-94" w:firstLine="425"/>
        <w:rPr>
          <w:rFonts w:ascii="宋体" w:hAnsi="宋体"/>
          <w:color w:val="auto"/>
        </w:rPr>
      </w:pPr>
      <w:r>
        <w:rPr>
          <w:rFonts w:hint="eastAsia" w:ascii="宋体" w:hAnsi="宋体"/>
          <w:color w:val="auto"/>
        </w:rPr>
        <w:t>对通过资格评审的投标单位进行</w:t>
      </w:r>
      <w:r>
        <w:rPr>
          <w:rFonts w:hint="eastAsia" w:ascii="宋体" w:hAnsi="宋体"/>
          <w:b/>
          <w:color w:val="auto"/>
        </w:rPr>
        <w:t>投标报价</w:t>
      </w:r>
      <w:r>
        <w:rPr>
          <w:rFonts w:hint="eastAsia" w:ascii="宋体" w:hAnsi="宋体"/>
          <w:color w:val="auto"/>
        </w:rPr>
        <w:t>评审：</w:t>
      </w:r>
    </w:p>
    <w:p>
      <w:pPr>
        <w:spacing w:before="50" w:after="50" w:line="360" w:lineRule="auto"/>
        <w:ind w:left="-94" w:firstLine="425"/>
        <w:rPr>
          <w:rFonts w:ascii="宋体" w:hAnsi="宋体"/>
          <w:color w:val="auto"/>
        </w:rPr>
      </w:pPr>
      <w:r>
        <w:rPr>
          <w:rFonts w:hint="eastAsia" w:ascii="宋体" w:hAnsi="宋体"/>
          <w:color w:val="auto"/>
        </w:rPr>
        <w:t>1）投标报价汇总表必须按照招标文件要求签名、盖章，否则作无效标处理。</w:t>
      </w:r>
    </w:p>
    <w:p>
      <w:pPr>
        <w:spacing w:before="50" w:after="50" w:line="360" w:lineRule="auto"/>
        <w:ind w:left="-94" w:firstLine="425"/>
        <w:rPr>
          <w:rFonts w:ascii="宋体" w:hAnsi="宋体"/>
          <w:bCs/>
          <w:color w:val="auto"/>
        </w:rPr>
      </w:pPr>
      <w:r>
        <w:rPr>
          <w:rFonts w:hint="eastAsia" w:ascii="宋体" w:hAnsi="宋体"/>
          <w:color w:val="auto"/>
        </w:rPr>
        <w:t>2）</w:t>
      </w:r>
      <w:r>
        <w:rPr>
          <w:rFonts w:hint="eastAsia" w:ascii="宋体" w:hAnsi="宋体"/>
          <w:bCs/>
          <w:color w:val="auto"/>
        </w:rPr>
        <w:t>投标报价不高于本招标文件规定的投标报价上限价，高于者为无效标函，不予评审，或不得低于</w:t>
      </w:r>
      <w:r>
        <w:rPr>
          <w:rFonts w:hint="eastAsia" w:ascii="宋体" w:hAnsi="宋体"/>
          <w:color w:val="auto"/>
          <w:szCs w:val="21"/>
        </w:rPr>
        <w:t>绿色施工安全防护措施费</w:t>
      </w:r>
      <w:r>
        <w:rPr>
          <w:rFonts w:hint="eastAsia" w:ascii="宋体" w:hAnsi="宋体"/>
          <w:bCs/>
          <w:color w:val="auto"/>
        </w:rPr>
        <w:t xml:space="preserve">下限值，低于者为无效标函，不予评审。如评标委员会对投标单位的报价有疑问时，即向投标单位进行询标。如投标单位不能向评标委员会解释投标报价的合理构成时，则评标委员会评定该投标报价为无效报价，作废标处理。有效报价不足三家则按规定重新招标。 </w:t>
      </w:r>
    </w:p>
    <w:p>
      <w:pPr>
        <w:spacing w:line="360" w:lineRule="auto"/>
        <w:ind w:firstLine="592" w:firstLineChars="247"/>
        <w:rPr>
          <w:rFonts w:ascii="宋体" w:hAnsi="宋体"/>
          <w:color w:val="auto"/>
        </w:rPr>
      </w:pPr>
      <w:r>
        <w:rPr>
          <w:rFonts w:hint="eastAsia" w:ascii="宋体" w:hAnsi="宋体"/>
          <w:color w:val="auto"/>
        </w:rPr>
        <w:t>3）在有效的投标报价中，</w:t>
      </w:r>
      <w:r>
        <w:rPr>
          <w:rFonts w:hint="eastAsia" w:ascii="宋体" w:hAnsi="宋体"/>
          <w:color w:val="auto"/>
          <w:szCs w:val="21"/>
          <w:lang w:val="fr-CH"/>
        </w:rPr>
        <w:t>按投标报价从小到大的顺序确定1、2、3......n名次（n为报价有效的投标单位数）。</w:t>
      </w:r>
    </w:p>
    <w:p>
      <w:pPr>
        <w:spacing w:before="50" w:after="50" w:line="360" w:lineRule="auto"/>
        <w:ind w:left="-94" w:firstLine="425"/>
        <w:rPr>
          <w:rFonts w:ascii="宋体" w:hAnsi="宋体"/>
          <w:color w:val="auto"/>
        </w:rPr>
      </w:pPr>
      <w:r>
        <w:rPr>
          <w:rFonts w:hint="eastAsia" w:ascii="宋体" w:hAnsi="宋体"/>
          <w:color w:val="auto"/>
        </w:rPr>
        <w:t>4）经评审合格有效的单位达到三家或以上时，则按投标报价排名的先后顺序依次确定中标候选单位：排名第一位的为第一中标候选单位、排名第二位的为第二中标候选单位、排名居第三位的为第三中标候选单位。当合格者不足3家，则评标中止，由招标人重新组织招标。</w:t>
      </w:r>
    </w:p>
    <w:p>
      <w:pPr>
        <w:spacing w:line="360" w:lineRule="auto"/>
        <w:ind w:left="-93" w:firstLine="425"/>
        <w:rPr>
          <w:rFonts w:ascii="宋体" w:hAnsi="宋体" w:cs="宋体"/>
          <w:bCs/>
          <w:color w:val="auto"/>
          <w:lang w:val="fr-CH"/>
        </w:rPr>
      </w:pPr>
      <w:r>
        <w:rPr>
          <w:rFonts w:hint="eastAsia" w:ascii="宋体" w:hAnsi="宋体" w:cs="宋体"/>
          <w:bCs/>
          <w:color w:val="auto"/>
        </w:rPr>
        <w:t>5）若第一中标</w:t>
      </w:r>
      <w:r>
        <w:rPr>
          <w:rFonts w:hint="eastAsia" w:ascii="宋体" w:hAnsi="宋体" w:cs="宋体"/>
          <w:bCs/>
          <w:color w:val="auto"/>
          <w:lang w:val="fr-CH"/>
        </w:rPr>
        <w:t>候选单位</w:t>
      </w:r>
      <w:r>
        <w:rPr>
          <w:rFonts w:hint="eastAsia" w:ascii="宋体" w:hAnsi="宋体" w:cs="宋体"/>
          <w:bCs/>
          <w:color w:val="auto"/>
        </w:rPr>
        <w:t>有两家或两家以上（即投标报价相同），招标人则通过公开摇珠的方式确定排名先后，摇珠规则：排名先后则按所摇号由大到小的顺序确定（即所摇号数大者排名在先）。</w:t>
      </w:r>
    </w:p>
    <w:p>
      <w:pPr>
        <w:spacing w:before="50" w:after="50" w:line="360" w:lineRule="auto"/>
        <w:ind w:left="-93" w:firstLine="425"/>
        <w:rPr>
          <w:rFonts w:ascii="宋体" w:hAnsi="宋体"/>
          <w:b/>
          <w:bCs/>
          <w:color w:val="auto"/>
        </w:rPr>
      </w:pPr>
      <w:r>
        <w:rPr>
          <w:rFonts w:hint="eastAsia" w:ascii="宋体" w:hAnsi="宋体"/>
          <w:b/>
          <w:bCs/>
          <w:color w:val="auto"/>
        </w:rPr>
        <w:t>（三）</w:t>
      </w:r>
      <w:r>
        <w:rPr>
          <w:rFonts w:hint="eastAsia" w:ascii="宋体" w:hAnsi="宋体"/>
          <w:b/>
          <w:bCs/>
          <w:color w:val="auto"/>
          <w:lang w:eastAsia="zh-CN"/>
        </w:rPr>
        <w:t>第三阶段：</w:t>
      </w:r>
      <w:r>
        <w:rPr>
          <w:rFonts w:hint="eastAsia" w:ascii="宋体" w:hAnsi="宋体"/>
          <w:b/>
          <w:bCs/>
          <w:color w:val="auto"/>
        </w:rPr>
        <w:t>确定中标单位及中标承包价：</w:t>
      </w:r>
    </w:p>
    <w:p>
      <w:pPr>
        <w:spacing w:before="50" w:after="50" w:line="360" w:lineRule="auto"/>
        <w:ind w:left="-94" w:firstLine="425"/>
        <w:rPr>
          <w:rFonts w:ascii="宋体" w:hAnsi="宋体"/>
          <w:color w:val="auto"/>
        </w:rPr>
      </w:pPr>
      <w:r>
        <w:rPr>
          <w:rFonts w:hint="eastAsia" w:ascii="宋体" w:hAnsi="宋体"/>
          <w:color w:val="auto"/>
        </w:rPr>
        <w:t>1、中标单位的确定：一般情况下第一中标候选单位为中标单位，若中标单位放弃中标，则第一中标候选单位的中标无效，由第二中标候选单位为正式中标单位，若第二中标候选单位因前款规定同样不能签订合同的，建设单位可以确定第三中标候选单位为中标单位，若第三中标候选单位亦放弃中标，建设单位将重新组织招标。若中标单位无正当理由放弃中标，且其投标报价少于后补中标单位的投标报价时，则该单位须按两次中标报价的差价赔偿给建设单位。</w:t>
      </w:r>
    </w:p>
    <w:p>
      <w:pPr>
        <w:spacing w:before="50" w:after="50" w:line="360" w:lineRule="auto"/>
        <w:ind w:left="-94" w:firstLine="425"/>
        <w:rPr>
          <w:rFonts w:ascii="宋体" w:hAnsi="宋体"/>
          <w:color w:val="auto"/>
        </w:rPr>
      </w:pPr>
      <w:r>
        <w:rPr>
          <w:rFonts w:hint="eastAsia" w:ascii="宋体" w:hAnsi="宋体"/>
          <w:color w:val="auto"/>
        </w:rPr>
        <w:t>2、中标价的确定：以中标单位的投标报价为中标价。</w:t>
      </w:r>
    </w:p>
    <w:p>
      <w:pPr>
        <w:spacing w:before="50" w:after="50" w:line="360" w:lineRule="auto"/>
        <w:ind w:left="-94" w:firstLine="425"/>
        <w:rPr>
          <w:rFonts w:ascii="宋体" w:hAnsi="宋体"/>
          <w:color w:val="auto"/>
        </w:rPr>
      </w:pPr>
      <w:r>
        <w:rPr>
          <w:rFonts w:hint="eastAsia" w:ascii="宋体" w:hAnsi="宋体"/>
          <w:color w:val="auto"/>
        </w:rPr>
        <w:t>3、专职责任记录员将整个招标工作包括评标过程形成纪要，由评审委员会、有关部门人员以及监督员签证。</w:t>
      </w:r>
    </w:p>
    <w:p>
      <w:pPr>
        <w:widowControl w:val="0"/>
        <w:spacing w:line="360" w:lineRule="auto"/>
        <w:rPr>
          <w:rFonts w:ascii="宋体" w:hAnsi="宋体"/>
          <w:b/>
          <w:color w:val="auto"/>
        </w:rPr>
      </w:pPr>
      <w:r>
        <w:rPr>
          <w:rFonts w:hint="eastAsia" w:ascii="宋体" w:hAnsi="宋体"/>
          <w:b/>
          <w:color w:val="auto"/>
        </w:rPr>
        <w:t>3.否决性条款</w:t>
      </w:r>
    </w:p>
    <w:p>
      <w:pPr>
        <w:spacing w:line="360" w:lineRule="auto"/>
        <w:rPr>
          <w:rFonts w:ascii="宋体" w:hAnsi="宋体"/>
          <w:color w:val="auto"/>
          <w:szCs w:val="21"/>
        </w:rPr>
      </w:pPr>
      <w:r>
        <w:rPr>
          <w:rFonts w:hint="eastAsia" w:ascii="宋体" w:hAnsi="宋体"/>
          <w:color w:val="auto"/>
          <w:szCs w:val="21"/>
        </w:rPr>
        <w:t>3.1投标人有下列情形之一的，不受理投标：</w:t>
      </w:r>
    </w:p>
    <w:p>
      <w:pPr>
        <w:pStyle w:val="63"/>
        <w:numPr>
          <w:ilvl w:val="0"/>
          <w:numId w:val="17"/>
        </w:numPr>
        <w:spacing w:line="360" w:lineRule="auto"/>
        <w:ind w:left="0" w:firstLine="0" w:firstLineChars="0"/>
        <w:rPr>
          <w:rFonts w:ascii="宋体" w:hAnsi="宋体"/>
          <w:color w:val="auto"/>
          <w:szCs w:val="21"/>
        </w:rPr>
      </w:pPr>
      <w:r>
        <w:rPr>
          <w:rFonts w:hint="eastAsia" w:ascii="宋体" w:hAnsi="宋体"/>
          <w:color w:val="auto"/>
          <w:szCs w:val="21"/>
        </w:rPr>
        <w:t>未按招标文件指定时间、地点提交投标文件的；</w:t>
      </w:r>
    </w:p>
    <w:p>
      <w:pPr>
        <w:pStyle w:val="63"/>
        <w:numPr>
          <w:ilvl w:val="0"/>
          <w:numId w:val="17"/>
        </w:numPr>
        <w:spacing w:line="360" w:lineRule="auto"/>
        <w:ind w:left="0" w:firstLine="0" w:firstLineChars="0"/>
        <w:rPr>
          <w:rFonts w:ascii="宋体" w:hAnsi="宋体"/>
          <w:color w:val="auto"/>
          <w:szCs w:val="21"/>
        </w:rPr>
      </w:pPr>
      <w:r>
        <w:rPr>
          <w:rFonts w:hint="eastAsia" w:ascii="宋体" w:hAnsi="宋体"/>
          <w:color w:val="auto"/>
          <w:szCs w:val="21"/>
        </w:rPr>
        <w:t>投标人的法定代表人或代理人未按时到开标现场完成签到的；</w:t>
      </w:r>
    </w:p>
    <w:p>
      <w:pPr>
        <w:pStyle w:val="63"/>
        <w:numPr>
          <w:ilvl w:val="0"/>
          <w:numId w:val="17"/>
        </w:numPr>
        <w:spacing w:line="360" w:lineRule="auto"/>
        <w:ind w:left="0" w:firstLine="0" w:firstLineChars="0"/>
        <w:rPr>
          <w:rFonts w:ascii="宋体" w:hAnsi="宋体"/>
          <w:color w:val="auto"/>
          <w:szCs w:val="21"/>
        </w:rPr>
      </w:pPr>
      <w:r>
        <w:rPr>
          <w:rFonts w:hint="eastAsia" w:ascii="宋体" w:hAnsi="宋体"/>
          <w:color w:val="auto"/>
          <w:szCs w:val="21"/>
        </w:rPr>
        <w:t>法定代表人参加开标会时，未能在开标前当场递交</w:t>
      </w:r>
      <w:r>
        <w:rPr>
          <w:rFonts w:hint="eastAsia" w:ascii="宋体" w:hAnsi="宋体"/>
          <w:color w:val="auto"/>
        </w:rPr>
        <w:t>法定代表人身份证明</w:t>
      </w:r>
      <w:r>
        <w:rPr>
          <w:rFonts w:hint="eastAsia" w:ascii="宋体" w:hAnsi="宋体"/>
          <w:color w:val="auto"/>
          <w:szCs w:val="21"/>
        </w:rPr>
        <w:t>或</w:t>
      </w:r>
      <w:r>
        <w:rPr>
          <w:rFonts w:hint="eastAsia" w:ascii="宋体" w:hAnsi="宋体"/>
          <w:color w:val="auto"/>
        </w:rPr>
        <w:t>法定代表人身份证明</w:t>
      </w:r>
      <w:r>
        <w:rPr>
          <w:rFonts w:hint="eastAsia" w:ascii="宋体" w:hAnsi="宋体"/>
          <w:color w:val="auto"/>
          <w:szCs w:val="21"/>
        </w:rPr>
        <w:t>上未盖投标人的公章；或法定代表人未当场出示身份证原件；</w:t>
      </w:r>
      <w:r>
        <w:rPr>
          <w:rFonts w:hint="eastAsia" w:ascii="宋体" w:hAnsi="宋体"/>
          <w:color w:val="auto"/>
          <w:szCs w:val="21"/>
        </w:rPr>
        <w:tab/>
      </w:r>
    </w:p>
    <w:p>
      <w:pPr>
        <w:pStyle w:val="63"/>
        <w:numPr>
          <w:ilvl w:val="0"/>
          <w:numId w:val="17"/>
        </w:numPr>
        <w:spacing w:line="360" w:lineRule="auto"/>
        <w:ind w:left="0" w:firstLine="0" w:firstLineChars="0"/>
        <w:rPr>
          <w:rFonts w:ascii="宋体" w:hAnsi="宋体"/>
          <w:color w:val="auto"/>
          <w:szCs w:val="21"/>
        </w:rPr>
      </w:pPr>
      <w:r>
        <w:rPr>
          <w:rFonts w:hint="eastAsia" w:ascii="宋体" w:hAnsi="宋体"/>
          <w:color w:val="auto"/>
          <w:szCs w:val="21"/>
        </w:rPr>
        <w:t>法定代表人不能到场而由代理人参加时，未能在开标前当场递交</w:t>
      </w:r>
      <w:r>
        <w:rPr>
          <w:rFonts w:hint="eastAsia" w:ascii="宋体" w:hAnsi="宋体"/>
          <w:color w:val="auto"/>
        </w:rPr>
        <w:t>法定代表人身份证明</w:t>
      </w:r>
      <w:r>
        <w:rPr>
          <w:rFonts w:hint="eastAsia" w:ascii="宋体" w:hAnsi="宋体"/>
          <w:color w:val="auto"/>
          <w:szCs w:val="21"/>
        </w:rPr>
        <w:t>或法人授权委托证明书；或</w:t>
      </w:r>
      <w:r>
        <w:rPr>
          <w:rFonts w:hint="eastAsia" w:ascii="宋体" w:hAnsi="宋体"/>
          <w:color w:val="auto"/>
        </w:rPr>
        <w:t>法定代表人身份证明</w:t>
      </w:r>
      <w:r>
        <w:rPr>
          <w:rFonts w:hint="eastAsia" w:ascii="宋体" w:hAnsi="宋体"/>
          <w:color w:val="auto"/>
          <w:szCs w:val="21"/>
        </w:rPr>
        <w:t>上未盖投标人公章；或法人授权委托证明书上无法定代表人的签字或未加盖投标人的公章；或委托的代理人未当场出示身份证原件；</w:t>
      </w:r>
    </w:p>
    <w:p>
      <w:pPr>
        <w:pStyle w:val="63"/>
        <w:numPr>
          <w:ilvl w:val="0"/>
          <w:numId w:val="17"/>
        </w:numPr>
        <w:spacing w:line="360" w:lineRule="auto"/>
        <w:ind w:left="0" w:firstLine="0" w:firstLineChars="0"/>
        <w:rPr>
          <w:rFonts w:ascii="宋体" w:hAnsi="宋体"/>
          <w:color w:val="auto"/>
          <w:szCs w:val="21"/>
        </w:rPr>
      </w:pPr>
      <w:r>
        <w:rPr>
          <w:rFonts w:hint="eastAsia" w:ascii="宋体" w:hAnsi="宋体"/>
          <w:color w:val="auto"/>
          <w:szCs w:val="21"/>
        </w:rPr>
        <w:t>以纸质形式递交的投标文件未密封的；</w:t>
      </w:r>
    </w:p>
    <w:p>
      <w:pPr>
        <w:pStyle w:val="63"/>
        <w:numPr>
          <w:ilvl w:val="0"/>
          <w:numId w:val="17"/>
        </w:numPr>
        <w:spacing w:line="360" w:lineRule="auto"/>
        <w:ind w:left="0" w:firstLine="0" w:firstLineChars="0"/>
        <w:rPr>
          <w:rFonts w:ascii="宋体" w:hAnsi="宋体"/>
          <w:color w:val="auto"/>
          <w:szCs w:val="21"/>
        </w:rPr>
      </w:pPr>
      <w:r>
        <w:rPr>
          <w:rFonts w:hint="eastAsia" w:ascii="宋体" w:hAnsi="宋体"/>
          <w:color w:val="auto"/>
          <w:szCs w:val="21"/>
        </w:rPr>
        <w:t>以纸质形式递交的投标文件未按招标文件第二章第4.1.2要求密封和加写标记的；</w:t>
      </w:r>
    </w:p>
    <w:p>
      <w:pPr>
        <w:pStyle w:val="63"/>
        <w:numPr>
          <w:ilvl w:val="0"/>
          <w:numId w:val="17"/>
        </w:numPr>
        <w:spacing w:line="360" w:lineRule="auto"/>
        <w:ind w:left="0" w:firstLine="0" w:firstLineChars="0"/>
        <w:rPr>
          <w:rFonts w:ascii="宋体" w:hAnsi="宋体"/>
          <w:color w:val="auto"/>
          <w:szCs w:val="21"/>
        </w:rPr>
      </w:pPr>
      <w:r>
        <w:rPr>
          <w:rFonts w:hint="eastAsia" w:ascii="宋体" w:hAnsi="宋体"/>
          <w:color w:val="auto"/>
          <w:szCs w:val="21"/>
        </w:rPr>
        <w:t>投标文件封面未标注项目名称、</w:t>
      </w:r>
      <w:r>
        <w:rPr>
          <w:rFonts w:hint="eastAsia" w:ascii="宋体" w:hAnsi="宋体"/>
          <w:color w:val="auto"/>
        </w:rPr>
        <w:t xml:space="preserve"> “投标文件”字样或</w:t>
      </w:r>
      <w:r>
        <w:rPr>
          <w:rFonts w:hint="eastAsia" w:ascii="宋体" w:hAnsi="宋体"/>
          <w:color w:val="auto"/>
          <w:szCs w:val="21"/>
        </w:rPr>
        <w:t>没有法定代表人（代理人）签字或没有加盖单位公章的；</w:t>
      </w:r>
    </w:p>
    <w:p>
      <w:pPr>
        <w:spacing w:line="360" w:lineRule="auto"/>
        <w:rPr>
          <w:rFonts w:ascii="宋体" w:hAnsi="宋体"/>
          <w:color w:val="auto"/>
          <w:szCs w:val="21"/>
        </w:rPr>
      </w:pPr>
      <w:r>
        <w:rPr>
          <w:rFonts w:hint="eastAsia" w:ascii="宋体" w:hAnsi="宋体"/>
          <w:color w:val="auto"/>
          <w:szCs w:val="21"/>
        </w:rPr>
        <w:t>3.2    投标人有下列情形之一的，其投标文件将被否决：</w:t>
      </w:r>
    </w:p>
    <w:p>
      <w:pPr>
        <w:pStyle w:val="63"/>
        <w:numPr>
          <w:ilvl w:val="0"/>
          <w:numId w:val="18"/>
        </w:numPr>
        <w:spacing w:line="360" w:lineRule="auto"/>
        <w:ind w:left="0" w:firstLine="0" w:firstLineChars="0"/>
        <w:rPr>
          <w:rFonts w:ascii="宋体" w:hAnsi="宋体"/>
          <w:bCs/>
          <w:color w:val="auto"/>
          <w:szCs w:val="21"/>
        </w:rPr>
      </w:pPr>
      <w:r>
        <w:rPr>
          <w:rFonts w:hint="eastAsia" w:ascii="宋体" w:hAnsi="宋体"/>
          <w:bCs/>
          <w:color w:val="auto"/>
          <w:szCs w:val="21"/>
        </w:rPr>
        <w:t xml:space="preserve">为招标人不具有独立法人资格的附属机构（单位）； </w:t>
      </w:r>
    </w:p>
    <w:p>
      <w:pPr>
        <w:pStyle w:val="63"/>
        <w:numPr>
          <w:ilvl w:val="0"/>
          <w:numId w:val="18"/>
        </w:numPr>
        <w:spacing w:line="360" w:lineRule="auto"/>
        <w:ind w:left="0" w:firstLine="0" w:firstLineChars="0"/>
        <w:rPr>
          <w:rFonts w:ascii="宋体" w:hAnsi="宋体"/>
          <w:bCs/>
          <w:color w:val="auto"/>
          <w:szCs w:val="21"/>
        </w:rPr>
      </w:pPr>
      <w:r>
        <w:rPr>
          <w:rFonts w:hint="eastAsia" w:ascii="宋体" w:hAnsi="宋体"/>
          <w:bCs/>
          <w:color w:val="auto"/>
          <w:szCs w:val="21"/>
        </w:rPr>
        <w:t>为本标段前期准备提供设计或咨询服务的；</w:t>
      </w:r>
    </w:p>
    <w:p>
      <w:pPr>
        <w:pStyle w:val="63"/>
        <w:numPr>
          <w:ilvl w:val="0"/>
          <w:numId w:val="18"/>
        </w:numPr>
        <w:spacing w:line="360" w:lineRule="auto"/>
        <w:ind w:left="0" w:firstLine="0" w:firstLineChars="0"/>
        <w:rPr>
          <w:rFonts w:ascii="宋体" w:hAnsi="宋体"/>
          <w:bCs/>
          <w:color w:val="auto"/>
          <w:szCs w:val="21"/>
        </w:rPr>
      </w:pPr>
      <w:r>
        <w:rPr>
          <w:rFonts w:hint="eastAsia" w:ascii="宋体" w:hAnsi="宋体"/>
          <w:bCs/>
          <w:color w:val="auto"/>
          <w:szCs w:val="21"/>
        </w:rPr>
        <w:t>为本标段的监理人；</w:t>
      </w:r>
    </w:p>
    <w:p>
      <w:pPr>
        <w:pStyle w:val="63"/>
        <w:numPr>
          <w:ilvl w:val="0"/>
          <w:numId w:val="18"/>
        </w:numPr>
        <w:spacing w:line="360" w:lineRule="auto"/>
        <w:ind w:left="0" w:firstLine="0" w:firstLineChars="0"/>
        <w:rPr>
          <w:rFonts w:ascii="宋体" w:hAnsi="宋体"/>
          <w:bCs/>
          <w:color w:val="auto"/>
          <w:szCs w:val="21"/>
        </w:rPr>
      </w:pPr>
      <w:r>
        <w:rPr>
          <w:rFonts w:hint="eastAsia" w:ascii="宋体" w:hAnsi="宋体"/>
          <w:bCs/>
          <w:color w:val="auto"/>
          <w:szCs w:val="21"/>
        </w:rPr>
        <w:t>为本标段的代建人：</w:t>
      </w:r>
    </w:p>
    <w:p>
      <w:pPr>
        <w:pStyle w:val="63"/>
        <w:numPr>
          <w:ilvl w:val="0"/>
          <w:numId w:val="18"/>
        </w:numPr>
        <w:spacing w:line="360" w:lineRule="auto"/>
        <w:ind w:left="0" w:firstLine="0" w:firstLineChars="0"/>
        <w:rPr>
          <w:rFonts w:ascii="宋体" w:hAnsi="宋体"/>
          <w:bCs/>
          <w:color w:val="auto"/>
          <w:szCs w:val="21"/>
        </w:rPr>
      </w:pPr>
      <w:r>
        <w:rPr>
          <w:rFonts w:hint="eastAsia" w:ascii="宋体" w:hAnsi="宋体"/>
          <w:bCs/>
          <w:color w:val="auto"/>
          <w:szCs w:val="21"/>
        </w:rPr>
        <w:t>为本标段提供招标代理服务的；</w:t>
      </w:r>
    </w:p>
    <w:p>
      <w:pPr>
        <w:pStyle w:val="63"/>
        <w:numPr>
          <w:ilvl w:val="0"/>
          <w:numId w:val="18"/>
        </w:numPr>
        <w:spacing w:line="360" w:lineRule="auto"/>
        <w:ind w:left="0" w:firstLine="0" w:firstLineChars="0"/>
        <w:rPr>
          <w:rFonts w:ascii="宋体" w:hAnsi="宋体"/>
          <w:bCs/>
          <w:color w:val="auto"/>
          <w:szCs w:val="21"/>
        </w:rPr>
      </w:pPr>
      <w:r>
        <w:rPr>
          <w:rFonts w:hint="eastAsia" w:ascii="宋体" w:hAnsi="宋体"/>
          <w:bCs/>
          <w:color w:val="auto"/>
          <w:szCs w:val="21"/>
        </w:rPr>
        <w:t>与本标段的监理人或代建人或招标代理机构同为一个法定代表人的：</w:t>
      </w:r>
    </w:p>
    <w:p>
      <w:pPr>
        <w:pStyle w:val="63"/>
        <w:numPr>
          <w:ilvl w:val="0"/>
          <w:numId w:val="18"/>
        </w:numPr>
        <w:tabs>
          <w:tab w:val="left" w:pos="284"/>
          <w:tab w:val="left" w:pos="426"/>
        </w:tabs>
        <w:spacing w:line="360" w:lineRule="auto"/>
        <w:ind w:left="0" w:firstLine="0" w:firstLineChars="0"/>
        <w:rPr>
          <w:rFonts w:ascii="宋体" w:hAnsi="宋体"/>
          <w:bCs/>
          <w:color w:val="auto"/>
          <w:szCs w:val="21"/>
        </w:rPr>
      </w:pPr>
      <w:r>
        <w:rPr>
          <w:rFonts w:hint="eastAsia" w:ascii="宋体" w:hAnsi="宋体"/>
          <w:bCs/>
          <w:color w:val="auto"/>
          <w:szCs w:val="21"/>
        </w:rPr>
        <w:t>与本标段的监理人或代建人或招标代理机构相互控股或参股的；</w:t>
      </w:r>
    </w:p>
    <w:p>
      <w:pPr>
        <w:pStyle w:val="63"/>
        <w:numPr>
          <w:ilvl w:val="0"/>
          <w:numId w:val="18"/>
        </w:numPr>
        <w:tabs>
          <w:tab w:val="left" w:pos="284"/>
          <w:tab w:val="left" w:pos="426"/>
          <w:tab w:val="left" w:pos="567"/>
        </w:tabs>
        <w:spacing w:line="360" w:lineRule="auto"/>
        <w:ind w:left="0" w:firstLine="0" w:firstLineChars="0"/>
        <w:rPr>
          <w:rFonts w:ascii="宋体" w:hAnsi="宋体"/>
          <w:bCs/>
          <w:color w:val="auto"/>
          <w:szCs w:val="21"/>
        </w:rPr>
      </w:pPr>
      <w:r>
        <w:rPr>
          <w:rFonts w:hint="eastAsia" w:ascii="宋体" w:hAnsi="宋体"/>
          <w:bCs/>
          <w:color w:val="auto"/>
          <w:szCs w:val="21"/>
        </w:rPr>
        <w:t>与本标段的监理人或代建人或招标代理机构相互任职或工作的：</w:t>
      </w:r>
    </w:p>
    <w:p>
      <w:pPr>
        <w:pStyle w:val="63"/>
        <w:numPr>
          <w:ilvl w:val="0"/>
          <w:numId w:val="18"/>
        </w:numPr>
        <w:tabs>
          <w:tab w:val="left" w:pos="284"/>
          <w:tab w:val="left" w:pos="426"/>
          <w:tab w:val="left" w:pos="567"/>
        </w:tabs>
        <w:spacing w:line="360" w:lineRule="auto"/>
        <w:ind w:left="0" w:firstLine="0" w:firstLineChars="0"/>
        <w:rPr>
          <w:rFonts w:ascii="宋体" w:hAnsi="宋体"/>
          <w:bCs/>
          <w:color w:val="auto"/>
          <w:szCs w:val="21"/>
        </w:rPr>
      </w:pPr>
      <w:r>
        <w:rPr>
          <w:rFonts w:hint="eastAsia" w:ascii="宋体" w:hAnsi="宋体"/>
          <w:bCs/>
          <w:color w:val="auto"/>
          <w:szCs w:val="21"/>
        </w:rPr>
        <w:t>单位负责人与其他投标人为同一人或者存在控股、管理关系的；</w:t>
      </w:r>
    </w:p>
    <w:p>
      <w:pPr>
        <w:pStyle w:val="63"/>
        <w:numPr>
          <w:ilvl w:val="0"/>
          <w:numId w:val="18"/>
        </w:numPr>
        <w:tabs>
          <w:tab w:val="left" w:pos="284"/>
          <w:tab w:val="left" w:pos="426"/>
          <w:tab w:val="left" w:pos="567"/>
        </w:tabs>
        <w:spacing w:line="360" w:lineRule="auto"/>
        <w:ind w:left="0" w:firstLine="0" w:firstLineChars="0"/>
        <w:rPr>
          <w:rFonts w:ascii="宋体" w:hAnsi="宋体"/>
          <w:bCs/>
          <w:color w:val="auto"/>
          <w:szCs w:val="21"/>
        </w:rPr>
      </w:pPr>
      <w:r>
        <w:rPr>
          <w:rFonts w:hint="eastAsia" w:ascii="宋体" w:hAnsi="宋体"/>
          <w:bCs/>
          <w:color w:val="auto"/>
          <w:szCs w:val="21"/>
        </w:rPr>
        <w:t>处于被责令停业期内的；</w:t>
      </w:r>
    </w:p>
    <w:p>
      <w:pPr>
        <w:pStyle w:val="63"/>
        <w:numPr>
          <w:ilvl w:val="0"/>
          <w:numId w:val="18"/>
        </w:numPr>
        <w:tabs>
          <w:tab w:val="left" w:pos="284"/>
          <w:tab w:val="left" w:pos="426"/>
          <w:tab w:val="left" w:pos="567"/>
        </w:tabs>
        <w:spacing w:line="360" w:lineRule="auto"/>
        <w:ind w:left="0" w:firstLine="0" w:firstLineChars="0"/>
        <w:rPr>
          <w:rFonts w:ascii="宋体" w:hAnsi="宋体"/>
          <w:bCs/>
          <w:color w:val="auto"/>
          <w:szCs w:val="21"/>
        </w:rPr>
      </w:pPr>
      <w:r>
        <w:rPr>
          <w:rFonts w:hint="eastAsia" w:ascii="宋体" w:hAnsi="宋体"/>
          <w:bCs/>
          <w:color w:val="auto"/>
          <w:szCs w:val="21"/>
        </w:rPr>
        <w:t>处于被暂停或取消投标资格期内的；</w:t>
      </w:r>
    </w:p>
    <w:p>
      <w:pPr>
        <w:pStyle w:val="63"/>
        <w:numPr>
          <w:ilvl w:val="0"/>
          <w:numId w:val="18"/>
        </w:numPr>
        <w:tabs>
          <w:tab w:val="left" w:pos="284"/>
          <w:tab w:val="left" w:pos="426"/>
          <w:tab w:val="left" w:pos="567"/>
        </w:tabs>
        <w:spacing w:line="360" w:lineRule="auto"/>
        <w:ind w:left="0" w:firstLine="0" w:firstLineChars="0"/>
        <w:rPr>
          <w:rFonts w:ascii="宋体" w:hAnsi="宋体"/>
          <w:bCs/>
          <w:color w:val="auto"/>
          <w:szCs w:val="21"/>
        </w:rPr>
      </w:pPr>
      <w:r>
        <w:rPr>
          <w:rFonts w:hint="eastAsia" w:ascii="宋体" w:hAnsi="宋体"/>
          <w:bCs/>
          <w:color w:val="auto"/>
          <w:szCs w:val="21"/>
        </w:rPr>
        <w:t>处于财产被接管或冻结期内的；</w:t>
      </w:r>
    </w:p>
    <w:p>
      <w:pPr>
        <w:pStyle w:val="63"/>
        <w:tabs>
          <w:tab w:val="left" w:pos="284"/>
          <w:tab w:val="left" w:pos="426"/>
          <w:tab w:val="left" w:pos="567"/>
        </w:tabs>
        <w:spacing w:line="360" w:lineRule="auto"/>
        <w:ind w:left="281" w:firstLine="0" w:firstLineChars="0"/>
        <w:rPr>
          <w:rFonts w:ascii="宋体" w:hAnsi="宋体"/>
          <w:bCs/>
          <w:color w:val="auto"/>
          <w:szCs w:val="21"/>
        </w:rPr>
      </w:pPr>
      <w:r>
        <w:rPr>
          <w:rFonts w:hint="eastAsia" w:ascii="宋体" w:hAnsi="宋体"/>
          <w:bCs/>
          <w:color w:val="auto"/>
          <w:szCs w:val="21"/>
        </w:rPr>
        <w:t>（如联合体投标，联合体任一成员具有上述任一情况的，其投标文件将被否决。）</w:t>
      </w:r>
    </w:p>
    <w:p>
      <w:pPr>
        <w:pStyle w:val="63"/>
        <w:numPr>
          <w:ilvl w:val="0"/>
          <w:numId w:val="18"/>
        </w:numPr>
        <w:tabs>
          <w:tab w:val="left" w:pos="284"/>
          <w:tab w:val="left" w:pos="426"/>
          <w:tab w:val="left" w:pos="567"/>
        </w:tabs>
        <w:spacing w:line="360" w:lineRule="auto"/>
        <w:ind w:left="0" w:firstLine="0" w:firstLineChars="0"/>
        <w:rPr>
          <w:rFonts w:ascii="宋体" w:hAnsi="宋体"/>
          <w:bCs/>
          <w:color w:val="auto"/>
          <w:szCs w:val="21"/>
        </w:rPr>
      </w:pPr>
      <w:r>
        <w:rPr>
          <w:rFonts w:hint="eastAsia" w:ascii="宋体" w:hAnsi="宋体"/>
          <w:bCs/>
          <w:color w:val="auto"/>
          <w:szCs w:val="21"/>
        </w:rPr>
        <w:t>联合体投标的，有以下情形之一的:（接受联合体投标的设定此条款）</w:t>
      </w:r>
    </w:p>
    <w:p>
      <w:pPr>
        <w:tabs>
          <w:tab w:val="left" w:pos="284"/>
          <w:tab w:val="left" w:pos="426"/>
          <w:tab w:val="left" w:pos="567"/>
        </w:tabs>
        <w:spacing w:line="360" w:lineRule="auto"/>
        <w:rPr>
          <w:rFonts w:ascii="宋体" w:hAnsi="宋体" w:cs="宋体"/>
          <w:color w:val="auto"/>
          <w:szCs w:val="21"/>
        </w:rPr>
      </w:pPr>
      <w:r>
        <w:rPr>
          <w:rFonts w:hint="eastAsia" w:ascii="宋体" w:hAnsi="宋体"/>
          <w:color w:val="auto"/>
          <w:szCs w:val="21"/>
        </w:rPr>
        <w:t>1)</w:t>
      </w:r>
      <w:r>
        <w:rPr>
          <w:rFonts w:hint="eastAsia" w:ascii="宋体" w:hAnsi="宋体" w:cs="宋体"/>
          <w:color w:val="auto"/>
          <w:szCs w:val="21"/>
        </w:rPr>
        <w:t>联合体牵头人不具备与所投标段工程内容相适应的施工资质，或成员单位不具备与所承担工程内容相适应的施工资质；</w:t>
      </w:r>
    </w:p>
    <w:p>
      <w:pPr>
        <w:spacing w:line="360" w:lineRule="auto"/>
        <w:rPr>
          <w:rFonts w:ascii="宋体" w:hAnsi="宋体" w:cs="宋体"/>
          <w:color w:val="auto"/>
          <w:szCs w:val="21"/>
        </w:rPr>
      </w:pPr>
      <w:r>
        <w:rPr>
          <w:rFonts w:hint="eastAsia" w:ascii="宋体" w:hAnsi="宋体" w:cs="宋体"/>
          <w:color w:val="auto"/>
          <w:szCs w:val="21"/>
        </w:rPr>
        <w:t xml:space="preserve"> 2)联合体各方签订联合体协议后，再以自己名义单独或以其他联合体成员的名义参加同一标段的投标；</w:t>
      </w:r>
    </w:p>
    <w:p>
      <w:pPr>
        <w:spacing w:line="360" w:lineRule="auto"/>
        <w:rPr>
          <w:rFonts w:ascii="宋体" w:hAnsi="宋体" w:cs="宋体"/>
          <w:color w:val="auto"/>
          <w:szCs w:val="21"/>
        </w:rPr>
      </w:pPr>
      <w:r>
        <w:rPr>
          <w:rFonts w:hint="eastAsia" w:ascii="宋体" w:hAnsi="宋体" w:cs="宋体"/>
          <w:color w:val="auto"/>
          <w:szCs w:val="21"/>
        </w:rPr>
        <w:t>3)提交联合体各成员单位共同签订的联合体协议，没有明确牵头人及成员单位各自的权利和义务以及应当承担的责任。</w:t>
      </w:r>
    </w:p>
    <w:p>
      <w:pPr>
        <w:tabs>
          <w:tab w:val="left" w:pos="567"/>
        </w:tabs>
        <w:spacing w:line="360" w:lineRule="auto"/>
        <w:rPr>
          <w:rFonts w:ascii="宋体" w:hAnsi="宋体"/>
          <w:bCs/>
          <w:color w:val="auto"/>
          <w:szCs w:val="21"/>
        </w:rPr>
      </w:pPr>
      <w:r>
        <w:rPr>
          <w:rFonts w:hint="eastAsia" w:ascii="宋体" w:hAnsi="宋体" w:cs="宋体"/>
          <w:color w:val="auto"/>
          <w:szCs w:val="21"/>
        </w:rPr>
        <w:t>4)</w:t>
      </w:r>
      <w:r>
        <w:rPr>
          <w:rFonts w:hint="eastAsia" w:ascii="宋体" w:hAnsi="宋体"/>
          <w:color w:val="auto"/>
          <w:szCs w:val="21"/>
        </w:rPr>
        <w:t>投标人组成联合体投标，但投标文件中未按规定附有联合体各方共同签署（不允许私章）盖章的投标协议书的；</w:t>
      </w:r>
    </w:p>
    <w:p>
      <w:pPr>
        <w:pStyle w:val="63"/>
        <w:numPr>
          <w:ilvl w:val="0"/>
          <w:numId w:val="18"/>
        </w:numPr>
        <w:tabs>
          <w:tab w:val="left" w:pos="567"/>
        </w:tabs>
        <w:spacing w:line="360" w:lineRule="auto"/>
        <w:ind w:left="0" w:firstLine="0" w:firstLineChars="0"/>
        <w:rPr>
          <w:rFonts w:ascii="宋体" w:hAnsi="宋体"/>
          <w:bCs/>
          <w:color w:val="auto"/>
          <w:szCs w:val="21"/>
          <w:u w:val="single"/>
        </w:rPr>
      </w:pPr>
      <w:r>
        <w:rPr>
          <w:rFonts w:hint="eastAsia" w:ascii="宋体" w:hAnsi="宋体"/>
          <w:bCs/>
          <w:color w:val="auto"/>
          <w:szCs w:val="21"/>
        </w:rPr>
        <w:t>投标人以他人的名义投标或串通投标、弄虚作假、夸大内容投标的；</w:t>
      </w:r>
    </w:p>
    <w:p>
      <w:pPr>
        <w:pStyle w:val="63"/>
        <w:numPr>
          <w:ilvl w:val="0"/>
          <w:numId w:val="18"/>
        </w:numPr>
        <w:tabs>
          <w:tab w:val="left" w:pos="567"/>
        </w:tabs>
        <w:spacing w:line="360" w:lineRule="auto"/>
        <w:ind w:left="0" w:firstLine="0" w:firstLineChars="0"/>
        <w:rPr>
          <w:rFonts w:ascii="宋体" w:hAnsi="宋体"/>
          <w:color w:val="auto"/>
          <w:szCs w:val="21"/>
        </w:rPr>
      </w:pPr>
      <w:r>
        <w:rPr>
          <w:rFonts w:hint="eastAsia" w:ascii="宋体" w:hAnsi="宋体"/>
          <w:color w:val="auto"/>
          <w:szCs w:val="21"/>
        </w:rPr>
        <w:t>投标文件未加盖单位公章或未有法定代表人或者代理人签名的；</w:t>
      </w:r>
    </w:p>
    <w:p>
      <w:pPr>
        <w:pStyle w:val="63"/>
        <w:numPr>
          <w:ilvl w:val="0"/>
          <w:numId w:val="18"/>
        </w:numPr>
        <w:tabs>
          <w:tab w:val="left" w:pos="567"/>
        </w:tabs>
        <w:spacing w:line="360" w:lineRule="auto"/>
        <w:ind w:left="0" w:firstLine="0" w:firstLineChars="0"/>
        <w:rPr>
          <w:rFonts w:ascii="宋体" w:hAnsi="宋体"/>
          <w:color w:val="auto"/>
          <w:szCs w:val="21"/>
        </w:rPr>
      </w:pPr>
      <w:r>
        <w:rPr>
          <w:rFonts w:hint="eastAsia" w:ascii="宋体" w:hAnsi="宋体"/>
          <w:color w:val="auto"/>
          <w:szCs w:val="21"/>
        </w:rPr>
        <w:t>投标文件</w:t>
      </w:r>
      <w:r>
        <w:rPr>
          <w:rFonts w:hint="eastAsia" w:ascii="宋体" w:hAnsi="宋体" w:cs="Arial"/>
          <w:color w:val="auto"/>
          <w:szCs w:val="21"/>
        </w:rPr>
        <w:t>内容字迹模糊、无法辨认的</w:t>
      </w:r>
      <w:r>
        <w:rPr>
          <w:rFonts w:hint="eastAsia" w:ascii="宋体" w:hAnsi="宋体"/>
          <w:color w:val="auto"/>
          <w:szCs w:val="21"/>
        </w:rPr>
        <w:t>；</w:t>
      </w:r>
    </w:p>
    <w:p>
      <w:pPr>
        <w:pStyle w:val="63"/>
        <w:numPr>
          <w:ilvl w:val="0"/>
          <w:numId w:val="18"/>
        </w:numPr>
        <w:tabs>
          <w:tab w:val="left" w:pos="567"/>
        </w:tabs>
        <w:spacing w:line="360" w:lineRule="auto"/>
        <w:ind w:left="0" w:firstLine="0" w:firstLineChars="0"/>
        <w:rPr>
          <w:rFonts w:ascii="宋体" w:hAnsi="宋体"/>
          <w:color w:val="auto"/>
          <w:szCs w:val="21"/>
        </w:rPr>
      </w:pPr>
      <w:r>
        <w:rPr>
          <w:rFonts w:hint="eastAsia" w:ascii="宋体" w:hAnsi="宋体"/>
          <w:color w:val="auto"/>
          <w:szCs w:val="21"/>
        </w:rPr>
        <w:t>招标文件有规定，实质上符合招标文件要求，但在个别地方存在遗漏或者提供了不完整的，评标委员会要求该投标人在评标结束前予以澄清、说明或补正，投标人拒绝澄清、说明或补正的；</w:t>
      </w:r>
    </w:p>
    <w:p>
      <w:pPr>
        <w:pStyle w:val="63"/>
        <w:numPr>
          <w:ilvl w:val="0"/>
          <w:numId w:val="18"/>
        </w:numPr>
        <w:tabs>
          <w:tab w:val="left" w:pos="567"/>
        </w:tabs>
        <w:spacing w:line="360" w:lineRule="auto"/>
        <w:ind w:left="0" w:firstLine="0" w:firstLineChars="0"/>
        <w:rPr>
          <w:rFonts w:ascii="宋体" w:hAnsi="宋体"/>
          <w:color w:val="auto"/>
          <w:szCs w:val="21"/>
        </w:rPr>
      </w:pPr>
      <w:r>
        <w:rPr>
          <w:rFonts w:hint="eastAsia" w:ascii="宋体" w:hAnsi="宋体"/>
          <w:color w:val="auto"/>
          <w:szCs w:val="21"/>
        </w:rPr>
        <w:t>投标人递交两份或多份内容不同的投标文件的（招标文件另有规定除外）；</w:t>
      </w:r>
    </w:p>
    <w:p>
      <w:pPr>
        <w:pStyle w:val="63"/>
        <w:numPr>
          <w:ilvl w:val="0"/>
          <w:numId w:val="18"/>
        </w:numPr>
        <w:tabs>
          <w:tab w:val="left" w:pos="567"/>
        </w:tabs>
        <w:spacing w:line="360" w:lineRule="auto"/>
        <w:ind w:left="0" w:firstLine="0" w:firstLineChars="0"/>
        <w:rPr>
          <w:rFonts w:ascii="宋体" w:hAnsi="宋体"/>
          <w:color w:val="auto"/>
          <w:szCs w:val="21"/>
        </w:rPr>
      </w:pPr>
      <w:r>
        <w:rPr>
          <w:rFonts w:hint="eastAsia" w:ascii="宋体" w:hAnsi="宋体"/>
          <w:color w:val="auto"/>
          <w:szCs w:val="21"/>
        </w:rPr>
        <w:t>投标文件不满足招标文件规定数量的，或</w:t>
      </w:r>
      <w:r>
        <w:rPr>
          <w:rFonts w:hint="eastAsia" w:ascii="宋体" w:hAnsi="宋体"/>
          <w:bCs/>
          <w:color w:val="auto"/>
          <w:szCs w:val="21"/>
        </w:rPr>
        <w:t>投标文件的组成不符合招标文件规定</w:t>
      </w:r>
      <w:r>
        <w:rPr>
          <w:rFonts w:hint="eastAsia" w:ascii="宋体" w:hAnsi="宋体"/>
          <w:color w:val="auto"/>
          <w:szCs w:val="21"/>
        </w:rPr>
        <w:t>；</w:t>
      </w:r>
    </w:p>
    <w:p>
      <w:pPr>
        <w:pStyle w:val="63"/>
        <w:numPr>
          <w:ilvl w:val="0"/>
          <w:numId w:val="18"/>
        </w:numPr>
        <w:tabs>
          <w:tab w:val="left" w:pos="567"/>
        </w:tabs>
        <w:spacing w:line="360" w:lineRule="auto"/>
        <w:ind w:left="0" w:firstLine="0" w:firstLineChars="0"/>
        <w:rPr>
          <w:rFonts w:ascii="宋体" w:hAnsi="宋体"/>
          <w:color w:val="auto"/>
          <w:szCs w:val="21"/>
        </w:rPr>
      </w:pPr>
      <w:r>
        <w:rPr>
          <w:rFonts w:hint="eastAsia" w:ascii="宋体" w:hAnsi="宋体"/>
          <w:color w:val="auto"/>
          <w:szCs w:val="21"/>
          <w:lang w:val="zh-CN"/>
        </w:rPr>
        <w:t>投标人资格不符合招标文件要求的；或</w:t>
      </w:r>
      <w:r>
        <w:rPr>
          <w:rFonts w:hint="eastAsia" w:ascii="宋体" w:hAnsi="宋体"/>
          <w:color w:val="auto"/>
          <w:szCs w:val="21"/>
        </w:rPr>
        <w:t>投标文件上标明的投标人资格与提交投标保证金时的投标申请人资格发生实质性下降，已下降到低于招标文件要求的资格条件；或投标人名称与提交投标保证金时不一致的（有提供市场监督管理部门出具的相关变更证明的除外）；</w:t>
      </w:r>
    </w:p>
    <w:p>
      <w:pPr>
        <w:pStyle w:val="63"/>
        <w:numPr>
          <w:ilvl w:val="0"/>
          <w:numId w:val="18"/>
        </w:numPr>
        <w:tabs>
          <w:tab w:val="left" w:pos="567"/>
        </w:tabs>
        <w:spacing w:line="360" w:lineRule="auto"/>
        <w:ind w:left="0" w:firstLine="0" w:firstLineChars="0"/>
        <w:rPr>
          <w:rFonts w:ascii="宋体" w:hAnsi="宋体"/>
          <w:bCs/>
          <w:color w:val="auto"/>
          <w:szCs w:val="21"/>
          <w:u w:val="single"/>
        </w:rPr>
      </w:pPr>
      <w:r>
        <w:rPr>
          <w:rFonts w:hint="eastAsia" w:ascii="宋体" w:hAnsi="宋体"/>
          <w:color w:val="auto"/>
          <w:szCs w:val="21"/>
        </w:rPr>
        <w:t>投标报价有算术错误的，评标委员会根据招标文件约定对投标报价进行修正，修正的价格经投标人书面确认后具有约束力，投标人不接受修正价格的；</w:t>
      </w:r>
    </w:p>
    <w:p>
      <w:pPr>
        <w:pStyle w:val="63"/>
        <w:numPr>
          <w:ilvl w:val="0"/>
          <w:numId w:val="18"/>
        </w:numPr>
        <w:tabs>
          <w:tab w:val="left" w:pos="567"/>
        </w:tabs>
        <w:spacing w:line="360" w:lineRule="auto"/>
        <w:ind w:left="0" w:firstLine="0" w:firstLineChars="0"/>
        <w:rPr>
          <w:rFonts w:ascii="宋体" w:hAnsi="宋体"/>
          <w:color w:val="auto"/>
          <w:szCs w:val="21"/>
        </w:rPr>
      </w:pPr>
      <w:r>
        <w:rPr>
          <w:rFonts w:hint="eastAsia" w:ascii="宋体" w:hAnsi="宋体"/>
          <w:color w:val="auto"/>
          <w:szCs w:val="21"/>
        </w:rPr>
        <w:t>不按评标委员会要求澄清、说明或补正的；</w:t>
      </w:r>
    </w:p>
    <w:p>
      <w:pPr>
        <w:pStyle w:val="63"/>
        <w:numPr>
          <w:ilvl w:val="0"/>
          <w:numId w:val="18"/>
        </w:numPr>
        <w:tabs>
          <w:tab w:val="left" w:pos="567"/>
        </w:tabs>
        <w:spacing w:line="360" w:lineRule="auto"/>
        <w:ind w:left="0" w:firstLine="0" w:firstLineChars="0"/>
        <w:rPr>
          <w:rFonts w:ascii="宋体" w:hAnsi="宋体"/>
          <w:color w:val="auto"/>
          <w:szCs w:val="21"/>
        </w:rPr>
      </w:pPr>
      <w:r>
        <w:rPr>
          <w:rFonts w:hint="eastAsia" w:ascii="宋体" w:hAnsi="宋体"/>
          <w:color w:val="auto"/>
          <w:szCs w:val="21"/>
        </w:rPr>
        <w:t>投标报价汇总表没有依据本招标文件《投标文件格式》中附提供格式填写，或没有按要求加盖投标人公章以及由法定代表人或代理人签名的；</w:t>
      </w:r>
    </w:p>
    <w:p>
      <w:pPr>
        <w:pStyle w:val="63"/>
        <w:numPr>
          <w:ilvl w:val="0"/>
          <w:numId w:val="18"/>
        </w:numPr>
        <w:tabs>
          <w:tab w:val="left" w:pos="567"/>
        </w:tabs>
        <w:spacing w:line="360" w:lineRule="auto"/>
        <w:ind w:left="0" w:firstLine="0" w:firstLineChars="0"/>
        <w:rPr>
          <w:rFonts w:ascii="宋体" w:hAnsi="宋体"/>
          <w:color w:val="auto"/>
          <w:szCs w:val="21"/>
        </w:rPr>
      </w:pPr>
      <w:r>
        <w:rPr>
          <w:rFonts w:hint="eastAsia" w:ascii="宋体" w:hAnsi="宋体"/>
          <w:color w:val="auto"/>
          <w:szCs w:val="21"/>
        </w:rPr>
        <w:t>投标报价高于投标报价上限价的；</w:t>
      </w:r>
    </w:p>
    <w:p>
      <w:pPr>
        <w:pStyle w:val="63"/>
        <w:numPr>
          <w:ilvl w:val="0"/>
          <w:numId w:val="18"/>
        </w:numPr>
        <w:tabs>
          <w:tab w:val="left" w:pos="567"/>
        </w:tabs>
        <w:spacing w:line="360" w:lineRule="auto"/>
        <w:ind w:left="0" w:firstLine="0" w:firstLineChars="0"/>
        <w:rPr>
          <w:rFonts w:ascii="宋体" w:hAnsi="宋体"/>
          <w:color w:val="auto"/>
          <w:szCs w:val="21"/>
        </w:rPr>
      </w:pPr>
      <w:r>
        <w:rPr>
          <w:rFonts w:hint="eastAsia" w:ascii="宋体" w:hAnsi="宋体"/>
          <w:color w:val="auto"/>
          <w:szCs w:val="21"/>
        </w:rPr>
        <w:t>投标报价汇总表中没有单列绿色施工安全防护措施费的；或投标人的绿色施工安全防护措施费的报价低于招标文件公布的招标控制价中的绿色施工安全防护措施费用总额的；</w:t>
      </w:r>
    </w:p>
    <w:p>
      <w:pPr>
        <w:pStyle w:val="63"/>
        <w:numPr>
          <w:ilvl w:val="0"/>
          <w:numId w:val="18"/>
        </w:numPr>
        <w:tabs>
          <w:tab w:val="left" w:pos="567"/>
        </w:tabs>
        <w:spacing w:line="360" w:lineRule="auto"/>
        <w:ind w:left="0" w:firstLine="0" w:firstLineChars="0"/>
        <w:rPr>
          <w:rFonts w:ascii="宋体" w:hAnsi="宋体"/>
          <w:color w:val="auto"/>
          <w:szCs w:val="21"/>
        </w:rPr>
      </w:pPr>
      <w:r>
        <w:rPr>
          <w:rFonts w:hint="eastAsia" w:ascii="宋体" w:hAnsi="宋体"/>
          <w:color w:val="auto"/>
          <w:szCs w:val="21"/>
        </w:rPr>
        <w:t>未按招标文件要求提交齐全、合法、真实、有效的资料。</w:t>
      </w:r>
    </w:p>
    <w:p>
      <w:pPr>
        <w:pStyle w:val="63"/>
        <w:numPr>
          <w:ilvl w:val="0"/>
          <w:numId w:val="18"/>
        </w:numPr>
        <w:tabs>
          <w:tab w:val="left" w:pos="567"/>
        </w:tabs>
        <w:spacing w:line="360" w:lineRule="auto"/>
        <w:ind w:left="0" w:firstLine="0" w:firstLineChars="0"/>
        <w:rPr>
          <w:rFonts w:ascii="宋体" w:hAnsi="宋体"/>
          <w:color w:val="auto"/>
          <w:szCs w:val="21"/>
        </w:rPr>
      </w:pPr>
      <w:r>
        <w:rPr>
          <w:rFonts w:hint="eastAsia" w:ascii="宋体" w:hAnsi="宋体"/>
          <w:color w:val="auto"/>
          <w:szCs w:val="21"/>
        </w:rPr>
        <w:t>投标人被列为“失信被执行人”的，或被列入“严重违法失信企业名单”的。</w:t>
      </w:r>
    </w:p>
    <w:p>
      <w:pPr>
        <w:pStyle w:val="63"/>
        <w:numPr>
          <w:ilvl w:val="0"/>
          <w:numId w:val="18"/>
        </w:numPr>
        <w:tabs>
          <w:tab w:val="left" w:pos="567"/>
        </w:tabs>
        <w:spacing w:line="360" w:lineRule="auto"/>
        <w:ind w:left="0" w:firstLine="0" w:firstLineChars="0"/>
        <w:rPr>
          <w:rFonts w:ascii="宋体" w:hAnsi="宋体"/>
          <w:color w:val="auto"/>
          <w:szCs w:val="21"/>
        </w:rPr>
      </w:pPr>
      <w:r>
        <w:rPr>
          <w:rFonts w:hint="eastAsia" w:ascii="宋体" w:hAnsi="宋体"/>
          <w:color w:val="auto"/>
          <w:szCs w:val="21"/>
        </w:rPr>
        <w:t>投标文件载明的招标项目完成期限超过招标文件规定的期限的</w:t>
      </w:r>
    </w:p>
    <w:p>
      <w:pPr>
        <w:pStyle w:val="63"/>
        <w:numPr>
          <w:ilvl w:val="0"/>
          <w:numId w:val="18"/>
        </w:numPr>
        <w:tabs>
          <w:tab w:val="left" w:pos="567"/>
        </w:tabs>
        <w:spacing w:line="360" w:lineRule="auto"/>
        <w:ind w:left="0" w:firstLine="0" w:firstLineChars="0"/>
        <w:rPr>
          <w:rFonts w:ascii="宋体" w:hAnsi="宋体"/>
          <w:color w:val="auto"/>
          <w:szCs w:val="21"/>
        </w:rPr>
      </w:pPr>
      <w:r>
        <w:rPr>
          <w:rFonts w:hint="eastAsia" w:ascii="宋体" w:hAnsi="宋体"/>
          <w:color w:val="auto"/>
          <w:szCs w:val="21"/>
        </w:rPr>
        <w:t>投标文件与原件不一致的。</w:t>
      </w:r>
    </w:p>
    <w:p>
      <w:pPr>
        <w:pStyle w:val="63"/>
        <w:numPr>
          <w:ilvl w:val="0"/>
          <w:numId w:val="18"/>
        </w:numPr>
        <w:tabs>
          <w:tab w:val="left" w:pos="567"/>
        </w:tabs>
        <w:spacing w:line="360" w:lineRule="auto"/>
        <w:ind w:left="0" w:firstLine="0" w:firstLineChars="0"/>
        <w:rPr>
          <w:rFonts w:ascii="宋体" w:hAnsi="宋体"/>
          <w:color w:val="auto"/>
          <w:szCs w:val="21"/>
          <w:lang w:val="zh-CN"/>
        </w:rPr>
      </w:pPr>
      <w:r>
        <w:rPr>
          <w:rFonts w:hint="eastAsia" w:ascii="宋体" w:hAnsi="宋体"/>
          <w:color w:val="auto"/>
          <w:szCs w:val="21"/>
          <w:lang w:val="zh-CN"/>
        </w:rPr>
        <w:t>投标文件内缺少有效的法定代表人身份证明，或者投标文件由代理人签署但投标文件内未附有效的法定代表人身份证明及授权委托书的。</w:t>
      </w:r>
    </w:p>
    <w:p>
      <w:pPr>
        <w:widowControl w:val="0"/>
        <w:tabs>
          <w:tab w:val="left" w:pos="540"/>
        </w:tabs>
        <w:spacing w:line="360" w:lineRule="auto"/>
        <w:rPr>
          <w:rFonts w:ascii="宋体" w:hAnsi="宋体"/>
          <w:b/>
          <w:bCs/>
          <w:color w:val="auto"/>
        </w:rPr>
      </w:pPr>
      <w:r>
        <w:rPr>
          <w:rFonts w:hint="eastAsia" w:ascii="宋体" w:hAnsi="宋体"/>
          <w:b/>
          <w:bCs/>
          <w:color w:val="auto"/>
        </w:rPr>
        <w:t>4.记名投票</w:t>
      </w:r>
    </w:p>
    <w:p>
      <w:pPr>
        <w:widowControl w:val="0"/>
        <w:tabs>
          <w:tab w:val="left" w:pos="540"/>
        </w:tabs>
        <w:spacing w:line="360" w:lineRule="auto"/>
        <w:ind w:firstLine="480" w:firstLineChars="200"/>
        <w:rPr>
          <w:rFonts w:ascii="宋体" w:hAnsi="宋体"/>
          <w:color w:val="auto"/>
        </w:rPr>
      </w:pPr>
      <w:r>
        <w:rPr>
          <w:rFonts w:hint="eastAsia" w:ascii="宋体" w:hAnsi="宋体"/>
          <w:color w:val="auto"/>
        </w:rPr>
        <w:t>在评标环节中，如遇争议部分需评标委员会做出表决的，由评标委员会全体成员按照少数服从多数的原则，以记名投票方式表决。</w:t>
      </w: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pStyle w:val="3"/>
        <w:pageBreakBefore/>
        <w:rPr>
          <w:rFonts w:ascii="宋体" w:hAnsi="宋体"/>
          <w:color w:val="auto"/>
          <w:szCs w:val="32"/>
        </w:rPr>
      </w:pPr>
      <w:bookmarkStart w:id="31" w:name="_Toc184635096"/>
      <w:bookmarkStart w:id="32" w:name="_Toc37255223"/>
      <w:bookmarkStart w:id="33" w:name="_Toc80020748"/>
      <w:r>
        <w:rPr>
          <w:rFonts w:hint="eastAsia" w:ascii="宋体" w:hAnsi="宋体"/>
          <w:color w:val="auto"/>
          <w:szCs w:val="32"/>
        </w:rPr>
        <w:t>第四章 合同条款及格式</w:t>
      </w:r>
      <w:bookmarkEnd w:id="31"/>
      <w:bookmarkEnd w:id="32"/>
      <w:bookmarkEnd w:id="33"/>
    </w:p>
    <w:p>
      <w:pPr>
        <w:spacing w:line="360" w:lineRule="auto"/>
        <w:ind w:firstLine="480" w:firstLineChars="200"/>
        <w:jc w:val="center"/>
        <w:rPr>
          <w:rFonts w:hint="eastAsia" w:ascii="宋体" w:hAnsi="宋体"/>
          <w:color w:val="auto"/>
          <w:szCs w:val="21"/>
          <w:u w:val="single"/>
        </w:rPr>
      </w:pPr>
      <w:r>
        <w:rPr>
          <w:rFonts w:hint="eastAsia" w:ascii="宋体" w:hAnsi="宋体"/>
          <w:color w:val="auto"/>
          <w:szCs w:val="21"/>
          <w:u w:val="single"/>
        </w:rPr>
        <w:t>（以甲方提供的合同版本，经甲乙双方确认为准）</w:t>
      </w:r>
    </w:p>
    <w:p>
      <w:pPr>
        <w:widowControl w:val="0"/>
        <w:numPr>
          <w:ilvl w:val="0"/>
          <w:numId w:val="19"/>
        </w:numPr>
        <w:tabs>
          <w:tab w:val="left" w:pos="540"/>
          <w:tab w:val="clear" w:pos="970"/>
        </w:tabs>
        <w:kinsoku/>
        <w:wordWrap/>
        <w:overflowPunct/>
        <w:topLinePunct w:val="0"/>
        <w:bidi w:val="0"/>
        <w:spacing w:line="360" w:lineRule="auto"/>
        <w:ind w:left="540" w:hanging="540"/>
        <w:jc w:val="both"/>
        <w:textAlignment w:val="auto"/>
        <w:rPr>
          <w:rFonts w:hint="eastAsia" w:ascii="宋体" w:hAnsi="宋体"/>
          <w:bCs/>
          <w:color w:val="auto"/>
        </w:rPr>
      </w:pPr>
      <w:r>
        <w:rPr>
          <w:rFonts w:hint="eastAsia" w:ascii="宋体" w:hAnsi="宋体"/>
          <w:bCs/>
          <w:color w:val="auto"/>
        </w:rPr>
        <w:t>执行《建设工程施工合同（示范文本）》</w:t>
      </w:r>
    </w:p>
    <w:p>
      <w:pPr>
        <w:widowControl w:val="0"/>
        <w:numPr>
          <w:ilvl w:val="0"/>
          <w:numId w:val="19"/>
        </w:numPr>
        <w:tabs>
          <w:tab w:val="left" w:pos="540"/>
          <w:tab w:val="clear" w:pos="970"/>
        </w:tabs>
        <w:kinsoku/>
        <w:wordWrap/>
        <w:overflowPunct/>
        <w:topLinePunct w:val="0"/>
        <w:bidi w:val="0"/>
        <w:spacing w:line="360" w:lineRule="auto"/>
        <w:ind w:left="540" w:hanging="540"/>
        <w:jc w:val="both"/>
        <w:textAlignment w:val="auto"/>
        <w:rPr>
          <w:rFonts w:ascii="宋体" w:hAnsi="宋体"/>
          <w:bCs/>
          <w:color w:val="auto"/>
        </w:rPr>
      </w:pPr>
      <w:r>
        <w:rPr>
          <w:rFonts w:hint="eastAsia" w:ascii="宋体" w:hAnsi="宋体"/>
          <w:bCs/>
          <w:color w:val="auto"/>
        </w:rPr>
        <w:t>本招标文件、补充说明、招标答疑、中标通知书和中标人的投标标函均作为合同文件的附件，具同等法律效力。</w:t>
      </w:r>
      <w:bookmarkStart w:id="34" w:name="_Toc278725689"/>
      <w:bookmarkStart w:id="35" w:name="_Toc278714823"/>
      <w:bookmarkStart w:id="36" w:name="_Toc277017122"/>
      <w:bookmarkStart w:id="37" w:name="_Toc277173642"/>
    </w:p>
    <w:bookmarkEnd w:id="34"/>
    <w:bookmarkEnd w:id="35"/>
    <w:bookmarkEnd w:id="36"/>
    <w:bookmarkEnd w:id="37"/>
    <w:p>
      <w:pPr>
        <w:pStyle w:val="2"/>
        <w:rPr>
          <w:color w:val="auto"/>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pStyle w:val="3"/>
        <w:rPr>
          <w:rFonts w:ascii="宋体" w:hAnsi="宋体"/>
          <w:color w:val="auto"/>
          <w:szCs w:val="32"/>
        </w:rPr>
      </w:pPr>
      <w:bookmarkStart w:id="38" w:name="_Toc15689"/>
      <w:bookmarkStart w:id="39" w:name="_Toc16916"/>
      <w:bookmarkStart w:id="40" w:name="_Toc41405385"/>
      <w:bookmarkStart w:id="41" w:name="_Toc80020749"/>
      <w:r>
        <w:rPr>
          <w:rFonts w:hint="eastAsia" w:ascii="宋体" w:hAnsi="宋体"/>
          <w:color w:val="auto"/>
          <w:szCs w:val="32"/>
        </w:rPr>
        <w:t>第五章 工程量清单及工程量清单计价</w:t>
      </w:r>
      <w:bookmarkEnd w:id="38"/>
      <w:bookmarkEnd w:id="39"/>
      <w:bookmarkEnd w:id="40"/>
      <w:bookmarkEnd w:id="41"/>
    </w:p>
    <w:p>
      <w:pPr>
        <w:rPr>
          <w:rFonts w:ascii="宋体" w:hAnsi="宋体"/>
          <w:color w:val="auto"/>
          <w:szCs w:val="21"/>
        </w:rPr>
      </w:pPr>
    </w:p>
    <w:p>
      <w:pPr>
        <w:spacing w:line="360" w:lineRule="auto"/>
        <w:rPr>
          <w:rFonts w:ascii="宋体" w:hAnsi="宋体"/>
          <w:b/>
          <w:color w:val="auto"/>
          <w:szCs w:val="21"/>
        </w:rPr>
      </w:pPr>
      <w:r>
        <w:rPr>
          <w:rFonts w:hint="eastAsia" w:ascii="宋体" w:hAnsi="宋体"/>
          <w:b/>
          <w:color w:val="auto"/>
          <w:szCs w:val="21"/>
        </w:rPr>
        <w:t>1、一般规定</w:t>
      </w:r>
    </w:p>
    <w:p>
      <w:pPr>
        <w:spacing w:line="360" w:lineRule="auto"/>
        <w:rPr>
          <w:rFonts w:ascii="宋体" w:hAnsi="宋体"/>
          <w:color w:val="auto"/>
          <w:szCs w:val="21"/>
        </w:rPr>
      </w:pPr>
      <w:r>
        <w:rPr>
          <w:rFonts w:hint="eastAsia" w:ascii="宋体" w:hAnsi="宋体"/>
          <w:color w:val="auto"/>
          <w:szCs w:val="21"/>
        </w:rPr>
        <w:t>1.1采用工程量清单及工程量清单计价的应遵循有关工程量清单计价规范、工程量计算规范的国家标准及省、市建设主管部门的相关规定。</w:t>
      </w:r>
    </w:p>
    <w:p>
      <w:pPr>
        <w:spacing w:line="360" w:lineRule="auto"/>
        <w:rPr>
          <w:rFonts w:ascii="宋体" w:hAnsi="宋体"/>
          <w:b/>
          <w:color w:val="auto"/>
          <w:szCs w:val="21"/>
        </w:rPr>
      </w:pPr>
      <w:r>
        <w:rPr>
          <w:rFonts w:hint="eastAsia" w:ascii="宋体" w:hAnsi="宋体"/>
          <w:b/>
          <w:color w:val="auto"/>
          <w:szCs w:val="21"/>
        </w:rPr>
        <w:t>2、工程量清单说明</w:t>
      </w:r>
    </w:p>
    <w:p>
      <w:pPr>
        <w:spacing w:line="360" w:lineRule="auto"/>
        <w:rPr>
          <w:rFonts w:ascii="宋体" w:hAnsi="宋体"/>
          <w:color w:val="auto"/>
          <w:szCs w:val="21"/>
        </w:rPr>
      </w:pPr>
      <w:r>
        <w:rPr>
          <w:rFonts w:hint="eastAsia" w:ascii="宋体" w:hAnsi="宋体"/>
          <w:color w:val="auto"/>
          <w:szCs w:val="21"/>
        </w:rPr>
        <w:t>2.1工程量清单由</w:t>
      </w:r>
      <w:r>
        <w:rPr>
          <w:rFonts w:hint="eastAsia" w:ascii="宋体" w:hAnsi="宋体"/>
          <w:color w:val="auto"/>
          <w:szCs w:val="21"/>
          <w:u w:val="single"/>
          <w:lang w:eastAsia="zh-CN"/>
        </w:rPr>
        <w:t>广东捷信工程咨询有限公司</w:t>
      </w:r>
      <w:r>
        <w:rPr>
          <w:rFonts w:hint="eastAsia" w:ascii="宋体" w:hAnsi="宋体"/>
          <w:color w:val="auto"/>
          <w:szCs w:val="21"/>
        </w:rPr>
        <w:t>编制，其准确性和完整性由招标人负责。</w:t>
      </w:r>
    </w:p>
    <w:p>
      <w:pPr>
        <w:spacing w:line="360" w:lineRule="auto"/>
        <w:rPr>
          <w:rFonts w:ascii="宋体" w:hAnsi="宋体"/>
          <w:color w:val="auto"/>
          <w:szCs w:val="21"/>
        </w:rPr>
      </w:pPr>
      <w:r>
        <w:rPr>
          <w:rFonts w:hint="eastAsia" w:ascii="宋体" w:hAnsi="宋体"/>
          <w:color w:val="auto"/>
          <w:szCs w:val="21"/>
        </w:rPr>
        <w:t>2.2 本工程量清单的主要编制依据包括但不限于下列内容：</w:t>
      </w:r>
    </w:p>
    <w:p>
      <w:pPr>
        <w:spacing w:line="360" w:lineRule="auto"/>
        <w:rPr>
          <w:rFonts w:ascii="宋体" w:hAnsi="宋体"/>
          <w:color w:val="auto"/>
          <w:szCs w:val="21"/>
          <w:u w:val="single"/>
        </w:rPr>
      </w:pPr>
      <w:r>
        <w:rPr>
          <w:rFonts w:hint="eastAsia" w:ascii="宋体" w:hAnsi="宋体"/>
          <w:color w:val="auto"/>
          <w:szCs w:val="21"/>
          <w:u w:val="single"/>
        </w:rPr>
        <w:t>（1）、有关工程量清单计价规范、工程量计算规范的国家标准</w:t>
      </w:r>
    </w:p>
    <w:p>
      <w:pPr>
        <w:spacing w:line="360" w:lineRule="auto"/>
        <w:rPr>
          <w:rFonts w:ascii="宋体" w:hAnsi="宋体"/>
          <w:color w:val="auto"/>
          <w:szCs w:val="21"/>
          <w:u w:val="single"/>
        </w:rPr>
      </w:pPr>
      <w:r>
        <w:rPr>
          <w:rFonts w:hint="eastAsia" w:ascii="宋体" w:hAnsi="宋体"/>
          <w:color w:val="auto"/>
          <w:szCs w:val="21"/>
          <w:u w:val="single"/>
        </w:rPr>
        <w:t>（2）、《建筑工程建筑面积计算规范》（GB/T50353-2013）</w:t>
      </w:r>
    </w:p>
    <w:p>
      <w:pPr>
        <w:spacing w:line="360" w:lineRule="auto"/>
        <w:rPr>
          <w:rFonts w:ascii="宋体" w:hAnsi="宋体"/>
          <w:color w:val="auto"/>
          <w:szCs w:val="21"/>
          <w:u w:val="single"/>
        </w:rPr>
      </w:pPr>
      <w:r>
        <w:rPr>
          <w:rFonts w:hint="eastAsia" w:ascii="宋体" w:hAnsi="宋体"/>
          <w:color w:val="auto"/>
          <w:szCs w:val="21"/>
          <w:u w:val="single"/>
        </w:rPr>
        <w:t>（3）、广东省建设工程计价通则、计价依据及有关计价规定</w:t>
      </w:r>
    </w:p>
    <w:p>
      <w:pPr>
        <w:spacing w:line="360" w:lineRule="auto"/>
        <w:rPr>
          <w:rFonts w:ascii="宋体" w:hAnsi="宋体"/>
          <w:color w:val="auto"/>
          <w:szCs w:val="21"/>
          <w:u w:val="single"/>
        </w:rPr>
      </w:pPr>
      <w:r>
        <w:rPr>
          <w:rFonts w:hint="eastAsia" w:ascii="宋体" w:hAnsi="宋体"/>
          <w:color w:val="auto"/>
          <w:szCs w:val="21"/>
          <w:u w:val="single"/>
        </w:rPr>
        <w:t>（4）、建设工程施工设计文件</w:t>
      </w:r>
    </w:p>
    <w:p>
      <w:pPr>
        <w:spacing w:line="360" w:lineRule="auto"/>
        <w:rPr>
          <w:rFonts w:ascii="宋体" w:hAnsi="宋体"/>
          <w:color w:val="auto"/>
          <w:szCs w:val="21"/>
          <w:u w:val="single"/>
        </w:rPr>
      </w:pPr>
      <w:r>
        <w:rPr>
          <w:rFonts w:hint="eastAsia" w:ascii="宋体" w:hAnsi="宋体"/>
          <w:color w:val="auto"/>
          <w:szCs w:val="21"/>
          <w:u w:val="single"/>
        </w:rPr>
        <w:t>（5）、与建设工程项目有关的标准、规范、技术资料</w:t>
      </w:r>
    </w:p>
    <w:p>
      <w:pPr>
        <w:spacing w:line="360" w:lineRule="auto"/>
        <w:rPr>
          <w:rFonts w:ascii="宋体" w:hAnsi="宋体"/>
          <w:color w:val="auto"/>
          <w:szCs w:val="21"/>
          <w:u w:val="single"/>
        </w:rPr>
      </w:pPr>
      <w:r>
        <w:rPr>
          <w:rFonts w:hint="eastAsia" w:ascii="宋体" w:hAnsi="宋体"/>
          <w:color w:val="auto"/>
          <w:szCs w:val="21"/>
          <w:u w:val="single"/>
        </w:rPr>
        <w:t>（6）、招标文件及其补充通知、答疑纪要</w:t>
      </w:r>
    </w:p>
    <w:p>
      <w:pPr>
        <w:spacing w:line="360" w:lineRule="auto"/>
        <w:rPr>
          <w:rFonts w:ascii="宋体" w:hAnsi="宋体"/>
          <w:color w:val="auto"/>
          <w:szCs w:val="21"/>
          <w:u w:val="single"/>
        </w:rPr>
      </w:pPr>
      <w:r>
        <w:rPr>
          <w:rFonts w:hint="eastAsia" w:ascii="宋体" w:hAnsi="宋体"/>
          <w:color w:val="auto"/>
          <w:szCs w:val="21"/>
          <w:u w:val="single"/>
        </w:rPr>
        <w:t>（7）、施工现场情况、工程特点及常规施工方案</w:t>
      </w:r>
    </w:p>
    <w:p>
      <w:pPr>
        <w:spacing w:line="360" w:lineRule="auto"/>
        <w:rPr>
          <w:rFonts w:ascii="宋体" w:hAnsi="宋体"/>
          <w:color w:val="auto"/>
          <w:szCs w:val="21"/>
          <w:u w:val="single"/>
        </w:rPr>
      </w:pPr>
      <w:r>
        <w:rPr>
          <w:rFonts w:hint="eastAsia" w:ascii="宋体" w:hAnsi="宋体"/>
          <w:color w:val="auto"/>
          <w:szCs w:val="21"/>
          <w:u w:val="single"/>
        </w:rPr>
        <w:t xml:space="preserve">（8）、其他依据：              /               </w:t>
      </w:r>
    </w:p>
    <w:p>
      <w:pPr>
        <w:spacing w:line="360" w:lineRule="auto"/>
        <w:rPr>
          <w:rFonts w:ascii="宋体" w:hAnsi="宋体"/>
          <w:color w:val="auto"/>
          <w:szCs w:val="21"/>
        </w:rPr>
      </w:pPr>
      <w:r>
        <w:rPr>
          <w:rFonts w:hint="eastAsia" w:ascii="宋体" w:hAnsi="宋体"/>
          <w:color w:val="auto"/>
          <w:szCs w:val="21"/>
        </w:rPr>
        <w:t>2.3 本工程量清单应与招标文件中投标人须知、合同条款、技术标准和要求、图纸及有关工程量清单计价规范、工程量计算规范的国家标准等一起阅读和理解。</w:t>
      </w:r>
    </w:p>
    <w:p>
      <w:pPr>
        <w:spacing w:line="360" w:lineRule="auto"/>
        <w:rPr>
          <w:rFonts w:ascii="宋体" w:hAnsi="宋体"/>
          <w:color w:val="auto"/>
          <w:szCs w:val="21"/>
        </w:rPr>
      </w:pPr>
      <w:r>
        <w:rPr>
          <w:rFonts w:hint="eastAsia" w:ascii="宋体" w:hAnsi="宋体"/>
          <w:color w:val="auto"/>
          <w:szCs w:val="21"/>
        </w:rPr>
        <w:t>2.4 本工程量清单标明的工程量是投标报价的共同基础。实际工程计量和工程价款的支付应遵循合同条款的约定和 “技术标准和要求”的有关规定。</w:t>
      </w:r>
    </w:p>
    <w:p>
      <w:pPr>
        <w:spacing w:line="360" w:lineRule="auto"/>
        <w:rPr>
          <w:rFonts w:ascii="宋体" w:hAnsi="宋体"/>
          <w:color w:val="auto"/>
          <w:szCs w:val="21"/>
          <w:u w:val="single"/>
          <w:shd w:val="clear" w:color="FFFFFF" w:fill="D9D9D9"/>
        </w:rPr>
      </w:pPr>
      <w:r>
        <w:rPr>
          <w:rFonts w:hint="eastAsia" w:ascii="宋体" w:hAnsi="宋体"/>
          <w:color w:val="auto"/>
          <w:szCs w:val="21"/>
        </w:rPr>
        <w:t>2.5 补充的工程量清单已按有关工程量清单计价规范、工程量计算规范的国家标准的要求编制。其项目编码、项目名称、项目特征、计量单位、工程量计算规则、工程内容的说明如下：</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p>
    <w:p>
      <w:pPr>
        <w:spacing w:line="360" w:lineRule="auto"/>
        <w:rPr>
          <w:rFonts w:ascii="宋体" w:hAnsi="宋体"/>
          <w:color w:val="auto"/>
          <w:szCs w:val="21"/>
        </w:rPr>
      </w:pPr>
      <w:r>
        <w:rPr>
          <w:rFonts w:hint="eastAsia" w:ascii="宋体" w:hAnsi="宋体"/>
          <w:color w:val="auto"/>
          <w:szCs w:val="21"/>
        </w:rPr>
        <w:t>2.6、分部分项工程量清单（包括可采用分部分项工程量清单方式编制的可以计算工程量的措施项目）已公布项目编码、项目名称、项目特征、计量单位、工程量。（公布的项目特征为项目的主要特征或工作内容，次要的特征或工作内容虽未具体说明，但均已考虑在内）</w:t>
      </w:r>
    </w:p>
    <w:p>
      <w:pPr>
        <w:spacing w:line="360" w:lineRule="auto"/>
        <w:rPr>
          <w:rFonts w:ascii="宋体" w:hAnsi="宋体"/>
          <w:color w:val="auto"/>
          <w:szCs w:val="21"/>
          <w:shd w:val="clear" w:color="FFFFFF" w:fill="D9D9D9"/>
        </w:rPr>
      </w:pPr>
      <w:r>
        <w:rPr>
          <w:rFonts w:hint="eastAsia" w:ascii="宋体" w:hAnsi="宋体"/>
          <w:color w:val="auto"/>
          <w:szCs w:val="21"/>
        </w:rPr>
        <w:t>2.7 暂列金额的数量及有关说明：</w:t>
      </w:r>
      <w:r>
        <w:rPr>
          <w:rFonts w:hint="eastAsia" w:ascii="宋体" w:hAnsi="宋体"/>
          <w:color w:val="auto"/>
          <w:szCs w:val="21"/>
          <w:u w:val="single"/>
        </w:rPr>
        <w:t xml:space="preserve">                     /                            </w:t>
      </w:r>
      <w:r>
        <w:rPr>
          <w:rFonts w:hint="eastAsia" w:ascii="宋体" w:hAnsi="宋体"/>
          <w:color w:val="auto"/>
          <w:szCs w:val="21"/>
          <w:u w:val="single"/>
          <w:shd w:val="clear" w:color="FFFFFF" w:fill="D9D9D9"/>
        </w:rPr>
        <w:t xml:space="preserve"> </w:t>
      </w:r>
    </w:p>
    <w:p>
      <w:pPr>
        <w:spacing w:line="360" w:lineRule="auto"/>
        <w:rPr>
          <w:rFonts w:ascii="宋体" w:hAnsi="宋体"/>
          <w:color w:val="auto"/>
          <w:szCs w:val="21"/>
          <w:u w:val="single"/>
        </w:rPr>
      </w:pPr>
      <w:r>
        <w:rPr>
          <w:rFonts w:hint="eastAsia" w:ascii="宋体" w:hAnsi="宋体"/>
          <w:color w:val="auto"/>
          <w:szCs w:val="21"/>
        </w:rPr>
        <w:t>2.8 计日工的数量及有关说明：</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p>
    <w:p>
      <w:pPr>
        <w:spacing w:line="360" w:lineRule="auto"/>
        <w:rPr>
          <w:rFonts w:ascii="宋体" w:hAnsi="宋体"/>
          <w:color w:val="auto"/>
          <w:szCs w:val="21"/>
        </w:rPr>
      </w:pPr>
      <w:r>
        <w:rPr>
          <w:rFonts w:hint="eastAsia" w:ascii="宋体" w:hAnsi="宋体"/>
          <w:color w:val="auto"/>
          <w:szCs w:val="21"/>
        </w:rPr>
        <w:t>2.9 暂估价的内容、数量及有关说明：</w:t>
      </w:r>
      <w:r>
        <w:rPr>
          <w:rFonts w:hint="eastAsia" w:ascii="宋体" w:hAnsi="宋体"/>
          <w:color w:val="auto"/>
          <w:szCs w:val="21"/>
          <w:u w:val="single"/>
        </w:rPr>
        <w:t xml:space="preserve">                  /                        </w:t>
      </w:r>
      <w:r>
        <w:rPr>
          <w:rFonts w:hint="eastAsia" w:ascii="宋体" w:hAnsi="宋体"/>
          <w:color w:val="auto"/>
          <w:szCs w:val="21"/>
        </w:rPr>
        <w:t>2.10 其他需要说明的事项：</w:t>
      </w:r>
      <w:r>
        <w:rPr>
          <w:rFonts w:hint="eastAsia" w:ascii="宋体" w:hAnsi="宋体"/>
          <w:color w:val="auto"/>
          <w:szCs w:val="21"/>
          <w:u w:val="single"/>
        </w:rPr>
        <w:t xml:space="preserve">   （工程量清单编制说明中重要的内容可在此说明）      </w:t>
      </w:r>
      <w:r>
        <w:rPr>
          <w:rFonts w:hint="eastAsia" w:ascii="宋体" w:hAnsi="宋体"/>
          <w:color w:val="auto"/>
          <w:szCs w:val="21"/>
          <w:u w:val="single"/>
          <w:shd w:val="clear" w:color="FFFFFF" w:fill="D9D9D9"/>
        </w:rPr>
        <w:t xml:space="preserve">           </w:t>
      </w:r>
      <w:r>
        <w:rPr>
          <w:rFonts w:hint="eastAsia" w:ascii="宋体" w:hAnsi="宋体"/>
          <w:color w:val="auto"/>
          <w:szCs w:val="21"/>
          <w:u w:val="single"/>
        </w:rPr>
        <w:t xml:space="preserve">                              </w:t>
      </w:r>
    </w:p>
    <w:p>
      <w:pPr>
        <w:spacing w:line="360" w:lineRule="auto"/>
        <w:rPr>
          <w:rFonts w:ascii="宋体" w:hAnsi="宋体"/>
          <w:b/>
          <w:color w:val="auto"/>
          <w:szCs w:val="21"/>
        </w:rPr>
      </w:pPr>
      <w:r>
        <w:rPr>
          <w:rFonts w:hint="eastAsia" w:ascii="宋体" w:hAnsi="宋体"/>
          <w:b/>
          <w:color w:val="auto"/>
          <w:szCs w:val="21"/>
        </w:rPr>
        <w:t>3、投标报价上限价说明</w:t>
      </w:r>
    </w:p>
    <w:p>
      <w:pPr>
        <w:spacing w:line="360" w:lineRule="auto"/>
        <w:rPr>
          <w:rFonts w:ascii="宋体" w:hAnsi="宋体"/>
          <w:color w:val="auto"/>
          <w:szCs w:val="21"/>
        </w:rPr>
      </w:pPr>
      <w:r>
        <w:rPr>
          <w:rFonts w:hint="eastAsia" w:ascii="宋体" w:hAnsi="宋体"/>
          <w:color w:val="auto"/>
          <w:szCs w:val="21"/>
        </w:rPr>
        <w:t>3.1 投标报价上限价参照《关于加强政府投资建设工程项目施工招标投标管理的通知》（中府【2009】138号文）的有关规定及建设行政主管部门公布的“政府投资建设工程项目施工招标投标报价上限及警戒值一览表”设置。</w:t>
      </w:r>
    </w:p>
    <w:p>
      <w:pPr>
        <w:spacing w:line="360" w:lineRule="auto"/>
        <w:rPr>
          <w:rFonts w:ascii="宋体" w:hAnsi="宋体"/>
          <w:b/>
          <w:color w:val="auto"/>
          <w:szCs w:val="21"/>
        </w:rPr>
      </w:pPr>
      <w:r>
        <w:rPr>
          <w:rFonts w:hint="eastAsia" w:ascii="宋体" w:hAnsi="宋体"/>
          <w:b/>
          <w:color w:val="auto"/>
          <w:szCs w:val="21"/>
        </w:rPr>
        <w:t>4、工程量清单投标报价说明</w:t>
      </w:r>
    </w:p>
    <w:p>
      <w:pPr>
        <w:spacing w:line="360" w:lineRule="auto"/>
        <w:rPr>
          <w:rFonts w:ascii="宋体" w:hAnsi="宋体"/>
          <w:color w:val="auto"/>
          <w:szCs w:val="21"/>
        </w:rPr>
      </w:pPr>
      <w:r>
        <w:rPr>
          <w:rFonts w:hint="eastAsia" w:ascii="宋体" w:hAnsi="宋体"/>
          <w:color w:val="auto"/>
          <w:szCs w:val="21"/>
        </w:rPr>
        <w:t>4.1 工程量清单投标报价应按3.1.1的要求签字盖章。</w:t>
      </w:r>
    </w:p>
    <w:p>
      <w:pPr>
        <w:spacing w:line="360" w:lineRule="auto"/>
        <w:rPr>
          <w:rFonts w:ascii="宋体" w:hAnsi="宋体"/>
          <w:color w:val="auto"/>
          <w:szCs w:val="21"/>
        </w:rPr>
      </w:pPr>
      <w:r>
        <w:rPr>
          <w:rFonts w:hint="eastAsia" w:ascii="宋体" w:hAnsi="宋体"/>
          <w:color w:val="auto"/>
          <w:szCs w:val="21"/>
        </w:rPr>
        <w:t>4.2 每一个工程量清单须填入单价和合价，且只允许有一个报价。若没有填入单价和合价的，视为已包含在工程量清单的其他单价和合价中。</w:t>
      </w:r>
    </w:p>
    <w:p>
      <w:pPr>
        <w:spacing w:line="360" w:lineRule="auto"/>
        <w:rPr>
          <w:rFonts w:ascii="宋体" w:hAnsi="宋体"/>
          <w:color w:val="auto"/>
          <w:szCs w:val="21"/>
        </w:rPr>
      </w:pPr>
      <w:r>
        <w:rPr>
          <w:rFonts w:hint="eastAsia" w:ascii="宋体" w:hAnsi="宋体"/>
          <w:color w:val="auto"/>
          <w:szCs w:val="21"/>
        </w:rPr>
        <w:t>4.3 分部分项工程量清单、措施项目清单的单价或金额应包括所需的人工费、材料费、施工机具使用费和企业管理费与利润，以及招标文件和第四章“合同条款及格式”约定的风险内容及其范围（幅度）。</w:t>
      </w:r>
    </w:p>
    <w:p>
      <w:pPr>
        <w:spacing w:line="360" w:lineRule="auto"/>
        <w:rPr>
          <w:rFonts w:ascii="宋体" w:hAnsi="宋体"/>
          <w:color w:val="auto"/>
          <w:szCs w:val="21"/>
        </w:rPr>
      </w:pPr>
      <w:r>
        <w:rPr>
          <w:rFonts w:hint="eastAsia" w:ascii="宋体" w:hAnsi="宋体"/>
          <w:color w:val="auto"/>
          <w:szCs w:val="21"/>
        </w:rPr>
        <w:t>4.4绿色施工安全防护措施费用应按国家或省、市建设主管部门的规定计价且不得低于招标人公布的绿色施工安全防护措施费用。</w:t>
      </w:r>
    </w:p>
    <w:p>
      <w:pPr>
        <w:spacing w:line="360" w:lineRule="auto"/>
        <w:rPr>
          <w:rFonts w:ascii="宋体" w:hAnsi="宋体"/>
          <w:color w:val="auto"/>
          <w:szCs w:val="21"/>
        </w:rPr>
      </w:pPr>
      <w:r>
        <w:rPr>
          <w:rFonts w:hint="eastAsia" w:ascii="宋体" w:hAnsi="宋体"/>
          <w:color w:val="auto"/>
          <w:szCs w:val="21"/>
        </w:rPr>
        <w:t>4.5 规费和税金应按国家或省、市相关部门的规定计价。</w:t>
      </w:r>
    </w:p>
    <w:p>
      <w:pPr>
        <w:spacing w:line="360" w:lineRule="auto"/>
        <w:rPr>
          <w:rFonts w:ascii="宋体" w:hAnsi="宋体"/>
          <w:color w:val="auto"/>
          <w:szCs w:val="21"/>
        </w:rPr>
      </w:pPr>
      <w:r>
        <w:rPr>
          <w:rFonts w:hint="eastAsia" w:ascii="宋体" w:hAnsi="宋体"/>
          <w:color w:val="auto"/>
          <w:szCs w:val="21"/>
        </w:rPr>
        <w:t>4.6 投标报价的明细程度应至综合单价分析表。</w:t>
      </w:r>
    </w:p>
    <w:p>
      <w:pPr>
        <w:spacing w:line="360" w:lineRule="auto"/>
        <w:rPr>
          <w:rFonts w:ascii="宋体" w:hAnsi="宋体"/>
          <w:color w:val="auto"/>
          <w:szCs w:val="21"/>
        </w:rPr>
      </w:pPr>
      <w:r>
        <w:rPr>
          <w:rFonts w:hint="eastAsia" w:ascii="宋体" w:hAnsi="宋体"/>
          <w:color w:val="auto"/>
          <w:szCs w:val="21"/>
        </w:rPr>
        <w:t>4.7投标报价应包括材料价格明细表或按招标文件的要求提供相应的材料价格表。</w:t>
      </w:r>
    </w:p>
    <w:p>
      <w:pPr>
        <w:spacing w:line="360" w:lineRule="auto"/>
        <w:rPr>
          <w:rFonts w:ascii="宋体" w:hAnsi="宋体"/>
          <w:b/>
          <w:color w:val="auto"/>
          <w:szCs w:val="21"/>
        </w:rPr>
      </w:pPr>
      <w:bookmarkStart w:id="42" w:name="_Toc184635130"/>
      <w:r>
        <w:rPr>
          <w:rFonts w:hint="eastAsia" w:ascii="宋体" w:hAnsi="宋体"/>
          <w:b/>
          <w:color w:val="auto"/>
          <w:szCs w:val="21"/>
        </w:rPr>
        <w:t>5、其他说明</w:t>
      </w:r>
    </w:p>
    <w:p>
      <w:pPr>
        <w:spacing w:line="360" w:lineRule="auto"/>
        <w:rPr>
          <w:rFonts w:ascii="宋体" w:hAnsi="宋体"/>
          <w:color w:val="auto"/>
          <w:szCs w:val="21"/>
        </w:rPr>
      </w:pPr>
      <w:r>
        <w:rPr>
          <w:rFonts w:hint="eastAsia" w:ascii="宋体" w:hAnsi="宋体"/>
          <w:color w:val="auto"/>
          <w:szCs w:val="21"/>
        </w:rPr>
        <w:t xml:space="preserve">   工程量清单计价表格组成及格式按有关工程量清单计价规范、工程量计算规范的国家标准的规定选用（须与招标文件同时发出）。</w:t>
      </w:r>
    </w:p>
    <w:p>
      <w:pPr>
        <w:pStyle w:val="2"/>
        <w:rPr>
          <w:rFonts w:ascii="宋体" w:hAnsi="宋体"/>
          <w:color w:val="auto"/>
          <w:szCs w:val="36"/>
        </w:rPr>
      </w:pPr>
      <w:r>
        <w:rPr>
          <w:rFonts w:hint="eastAsia" w:ascii="宋体" w:hAnsi="宋体"/>
          <w:color w:val="auto"/>
          <w:kern w:val="44"/>
          <w:sz w:val="32"/>
          <w:szCs w:val="44"/>
        </w:rPr>
        <w:br w:type="page"/>
      </w:r>
      <w:bookmarkStart w:id="43" w:name="_Toc80020750"/>
      <w:r>
        <w:rPr>
          <w:rFonts w:hint="eastAsia" w:ascii="宋体" w:hAnsi="宋体"/>
          <w:color w:val="auto"/>
          <w:kern w:val="44"/>
          <w:szCs w:val="36"/>
        </w:rPr>
        <w:t>第六章 图纸</w:t>
      </w:r>
      <w:bookmarkEnd w:id="42"/>
      <w:bookmarkEnd w:id="43"/>
    </w:p>
    <w:p>
      <w:pPr>
        <w:spacing w:line="360" w:lineRule="auto"/>
        <w:ind w:firstLine="480" w:firstLineChars="200"/>
        <w:rPr>
          <w:rFonts w:ascii="宋体" w:hAnsi="宋体"/>
          <w:color w:val="auto"/>
          <w:szCs w:val="21"/>
        </w:rPr>
      </w:pPr>
      <w:r>
        <w:rPr>
          <w:rFonts w:hint="eastAsia" w:ascii="宋体" w:hAnsi="宋体"/>
          <w:color w:val="auto"/>
          <w:szCs w:val="21"/>
          <w:u w:val="single"/>
        </w:rPr>
        <w:t xml:space="preserve">                               见附件图纸                                                 </w:t>
      </w: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bookmarkEnd w:id="1"/>
    <w:p>
      <w:pPr>
        <w:widowControl w:val="0"/>
        <w:spacing w:line="360" w:lineRule="auto"/>
        <w:ind w:firstLine="280" w:firstLineChars="117"/>
        <w:rPr>
          <w:rFonts w:ascii="宋体" w:hAnsi="宋体"/>
          <w:color w:val="auto"/>
          <w:szCs w:val="21"/>
        </w:rPr>
      </w:pPr>
    </w:p>
    <w:p>
      <w:pPr>
        <w:widowControl w:val="0"/>
        <w:spacing w:line="360" w:lineRule="auto"/>
        <w:ind w:firstLine="280" w:firstLineChars="117"/>
        <w:rPr>
          <w:rFonts w:ascii="宋体" w:hAnsi="宋体"/>
          <w:color w:val="auto"/>
          <w:szCs w:val="21"/>
        </w:rPr>
      </w:pPr>
    </w:p>
    <w:p>
      <w:pPr>
        <w:widowControl w:val="0"/>
        <w:spacing w:line="360" w:lineRule="auto"/>
        <w:ind w:firstLine="280" w:firstLineChars="117"/>
        <w:rPr>
          <w:rFonts w:ascii="宋体" w:hAnsi="宋体"/>
          <w:color w:val="auto"/>
          <w:szCs w:val="21"/>
        </w:rPr>
      </w:pPr>
    </w:p>
    <w:p>
      <w:pPr>
        <w:widowControl w:val="0"/>
        <w:spacing w:line="360" w:lineRule="auto"/>
        <w:ind w:firstLine="280" w:firstLineChars="117"/>
        <w:rPr>
          <w:rFonts w:ascii="宋体" w:hAnsi="宋体"/>
          <w:color w:val="auto"/>
          <w:szCs w:val="21"/>
        </w:rPr>
      </w:pPr>
    </w:p>
    <w:p>
      <w:pPr>
        <w:widowControl w:val="0"/>
        <w:spacing w:line="360" w:lineRule="auto"/>
        <w:ind w:left="-94" w:firstLine="425"/>
        <w:jc w:val="both"/>
        <w:rPr>
          <w:rFonts w:ascii="宋体" w:hAnsi="宋体"/>
          <w:color w:val="auto"/>
        </w:rPr>
      </w:pPr>
    </w:p>
    <w:p>
      <w:pPr>
        <w:widowControl w:val="0"/>
        <w:spacing w:line="360" w:lineRule="auto"/>
        <w:ind w:left="-94" w:firstLine="425"/>
        <w:jc w:val="both"/>
        <w:rPr>
          <w:rFonts w:ascii="宋体" w:hAnsi="宋体"/>
          <w:color w:val="auto"/>
        </w:rPr>
      </w:pPr>
    </w:p>
    <w:p>
      <w:pPr>
        <w:widowControl w:val="0"/>
        <w:spacing w:line="360" w:lineRule="auto"/>
        <w:ind w:left="-94" w:firstLine="425"/>
        <w:jc w:val="both"/>
        <w:rPr>
          <w:rFonts w:ascii="宋体" w:hAnsi="宋体"/>
          <w:color w:val="auto"/>
        </w:rPr>
      </w:pPr>
    </w:p>
    <w:p>
      <w:pPr>
        <w:pStyle w:val="2"/>
        <w:jc w:val="center"/>
        <w:rPr>
          <w:rFonts w:ascii="宋体" w:hAnsi="宋体"/>
          <w:color w:val="auto"/>
        </w:rPr>
      </w:pPr>
      <w:r>
        <w:rPr>
          <w:rFonts w:hint="eastAsia" w:ascii="宋体" w:hAnsi="宋体"/>
          <w:color w:val="auto"/>
        </w:rPr>
        <w:br w:type="page"/>
      </w:r>
      <w:bookmarkStart w:id="44" w:name="_Toc80020751"/>
      <w:r>
        <w:rPr>
          <w:rFonts w:hint="eastAsia" w:ascii="宋体" w:hAnsi="宋体"/>
          <w:color w:val="auto"/>
          <w:kern w:val="44"/>
          <w:szCs w:val="36"/>
        </w:rPr>
        <w:t>第七章 投标文件格式</w:t>
      </w:r>
      <w:bookmarkEnd w:id="44"/>
    </w:p>
    <w:p>
      <w:pPr>
        <w:spacing w:line="360" w:lineRule="auto"/>
        <w:jc w:val="right"/>
        <w:rPr>
          <w:rFonts w:ascii="宋体" w:hAnsi="宋体"/>
          <w:color w:val="auto"/>
          <w:szCs w:val="21"/>
        </w:rPr>
      </w:pPr>
      <w:r>
        <w:rPr>
          <w:rFonts w:hint="eastAsia" w:ascii="宋体" w:hAnsi="宋体"/>
          <w:color w:val="auto"/>
          <w:szCs w:val="21"/>
        </w:rPr>
        <w:t>正本（副本）</w:t>
      </w:r>
    </w:p>
    <w:p>
      <w:pPr>
        <w:spacing w:line="360" w:lineRule="auto"/>
        <w:jc w:val="right"/>
        <w:rPr>
          <w:rFonts w:ascii="宋体" w:hAnsi="宋体"/>
          <w:color w:val="auto"/>
          <w:szCs w:val="21"/>
        </w:rPr>
      </w:pPr>
    </w:p>
    <w:p>
      <w:pPr>
        <w:spacing w:line="360" w:lineRule="auto"/>
        <w:ind w:firstLine="2570" w:firstLineChars="800"/>
        <w:rPr>
          <w:rFonts w:ascii="宋体" w:hAnsi="宋体"/>
          <w:b/>
          <w:color w:val="auto"/>
          <w:sz w:val="32"/>
          <w:szCs w:val="32"/>
        </w:rPr>
      </w:pPr>
      <w:r>
        <w:rPr>
          <w:rFonts w:hint="eastAsia" w:ascii="宋体" w:hAnsi="宋体"/>
          <w:b/>
          <w:color w:val="auto"/>
          <w:sz w:val="32"/>
          <w:szCs w:val="32"/>
          <w:u w:val="single"/>
        </w:rPr>
        <w:t xml:space="preserve">                </w:t>
      </w:r>
      <w:r>
        <w:rPr>
          <w:rFonts w:hint="eastAsia" w:ascii="宋体" w:hAnsi="宋体"/>
          <w:b/>
          <w:color w:val="auto"/>
          <w:sz w:val="32"/>
          <w:szCs w:val="32"/>
        </w:rPr>
        <w:t>（项目名称）</w:t>
      </w:r>
    </w:p>
    <w:p>
      <w:pPr>
        <w:spacing w:line="360" w:lineRule="auto"/>
        <w:ind w:firstLine="480" w:firstLineChars="200"/>
        <w:rPr>
          <w:rFonts w:ascii="宋体" w:hAnsi="宋体"/>
          <w:color w:val="auto"/>
          <w:szCs w:val="21"/>
        </w:rPr>
      </w:pPr>
    </w:p>
    <w:p>
      <w:pPr>
        <w:spacing w:line="360" w:lineRule="auto"/>
        <w:ind w:firstLine="1440" w:firstLineChars="200"/>
        <w:jc w:val="center"/>
        <w:rPr>
          <w:rFonts w:ascii="宋体" w:hAnsi="宋体"/>
          <w:color w:val="auto"/>
          <w:sz w:val="72"/>
          <w:szCs w:val="72"/>
        </w:rPr>
      </w:pPr>
      <w:r>
        <w:rPr>
          <w:rFonts w:hint="eastAsia" w:ascii="宋体" w:hAnsi="宋体"/>
          <w:color w:val="auto"/>
          <w:sz w:val="72"/>
          <w:szCs w:val="72"/>
        </w:rPr>
        <w:t>投 标 文 件</w:t>
      </w: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960" w:firstLineChars="200"/>
        <w:jc w:val="center"/>
        <w:rPr>
          <w:rFonts w:ascii="宋体" w:hAnsi="宋体"/>
          <w:dstrike/>
          <w:color w:val="auto"/>
          <w:sz w:val="48"/>
          <w:szCs w:val="48"/>
        </w:rPr>
      </w:pPr>
    </w:p>
    <w:p>
      <w:pPr>
        <w:kinsoku/>
        <w:wordWrap/>
        <w:overflowPunct/>
        <w:topLinePunct w:val="0"/>
        <w:bidi w:val="0"/>
        <w:spacing w:line="360" w:lineRule="auto"/>
        <w:jc w:val="center"/>
        <w:textAlignment w:val="auto"/>
        <w:outlineLvl w:val="0"/>
        <w:rPr>
          <w:rFonts w:hint="eastAsia" w:ascii="宋体" w:hAnsi="宋体"/>
          <w:color w:val="auto"/>
          <w:sz w:val="48"/>
          <w:szCs w:val="48"/>
        </w:rPr>
      </w:pPr>
      <w:bookmarkStart w:id="45" w:name="_Toc30653"/>
      <w:r>
        <w:rPr>
          <w:rFonts w:hint="eastAsia" w:ascii="宋体" w:hAnsi="宋体"/>
          <w:color w:val="auto"/>
          <w:sz w:val="48"/>
          <w:szCs w:val="48"/>
        </w:rPr>
        <w:t>基本资料</w:t>
      </w:r>
      <w:bookmarkEnd w:id="45"/>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jc w:val="center"/>
        <w:rPr>
          <w:rFonts w:ascii="宋体" w:hAnsi="宋体"/>
          <w:color w:val="auto"/>
          <w:sz w:val="28"/>
          <w:szCs w:val="28"/>
        </w:rPr>
      </w:pPr>
      <w:r>
        <w:rPr>
          <w:rFonts w:hint="eastAsia" w:ascii="宋体" w:hAnsi="宋体"/>
          <w:color w:val="auto"/>
          <w:sz w:val="28"/>
          <w:szCs w:val="28"/>
        </w:rPr>
        <w:t>投标人：</w:t>
      </w:r>
      <w:r>
        <w:rPr>
          <w:rFonts w:hint="eastAsia" w:ascii="宋体" w:hAnsi="宋体"/>
          <w:color w:val="auto"/>
          <w:sz w:val="28"/>
          <w:szCs w:val="28"/>
          <w:u w:val="single"/>
        </w:rPr>
        <w:t xml:space="preserve">                       </w:t>
      </w:r>
      <w:r>
        <w:rPr>
          <w:rFonts w:hint="eastAsia" w:ascii="宋体" w:hAnsi="宋体"/>
          <w:color w:val="auto"/>
          <w:sz w:val="28"/>
          <w:szCs w:val="28"/>
        </w:rPr>
        <w:t>（盖单位章）</w:t>
      </w:r>
    </w:p>
    <w:p>
      <w:pPr>
        <w:spacing w:line="360" w:lineRule="auto"/>
        <w:ind w:firstLine="560" w:firstLineChars="200"/>
        <w:rPr>
          <w:rFonts w:ascii="宋体" w:hAnsi="宋体"/>
          <w:color w:val="auto"/>
          <w:sz w:val="28"/>
          <w:szCs w:val="28"/>
        </w:rPr>
      </w:pPr>
    </w:p>
    <w:p>
      <w:pPr>
        <w:spacing w:line="360" w:lineRule="auto"/>
        <w:ind w:firstLine="1960" w:firstLineChars="700"/>
        <w:rPr>
          <w:rFonts w:ascii="宋体" w:hAnsi="宋体"/>
          <w:color w:val="auto"/>
          <w:sz w:val="28"/>
          <w:szCs w:val="28"/>
        </w:rPr>
      </w:pPr>
      <w:r>
        <w:rPr>
          <w:rFonts w:hint="eastAsia" w:ascii="宋体" w:hAnsi="宋体"/>
          <w:color w:val="auto"/>
          <w:sz w:val="28"/>
          <w:szCs w:val="28"/>
        </w:rPr>
        <w:t>法定代表人或其代理人：</w:t>
      </w:r>
      <w:r>
        <w:rPr>
          <w:rFonts w:hint="eastAsia" w:ascii="宋体" w:hAnsi="宋体"/>
          <w:color w:val="auto"/>
          <w:sz w:val="28"/>
          <w:szCs w:val="28"/>
          <w:u w:val="single"/>
        </w:rPr>
        <w:t xml:space="preserve">            </w:t>
      </w:r>
      <w:r>
        <w:rPr>
          <w:rFonts w:hint="eastAsia" w:ascii="宋体" w:hAnsi="宋体"/>
          <w:color w:val="auto"/>
          <w:sz w:val="28"/>
          <w:szCs w:val="28"/>
        </w:rPr>
        <w:t>（签字）</w:t>
      </w:r>
    </w:p>
    <w:p>
      <w:pPr>
        <w:spacing w:line="360" w:lineRule="auto"/>
        <w:jc w:val="center"/>
        <w:rPr>
          <w:rFonts w:ascii="宋体" w:hAnsi="宋体"/>
          <w:color w:val="auto"/>
          <w:szCs w:val="21"/>
          <w:u w:val="single"/>
        </w:rPr>
      </w:pPr>
    </w:p>
    <w:p>
      <w:pPr>
        <w:spacing w:line="360" w:lineRule="auto"/>
        <w:jc w:val="center"/>
        <w:rPr>
          <w:rFonts w:ascii="宋体" w:hAnsi="宋体"/>
          <w:color w:val="auto"/>
          <w:sz w:val="28"/>
          <w:szCs w:val="28"/>
        </w:rPr>
      </w:pPr>
      <w:r>
        <w:rPr>
          <w:rFonts w:hint="eastAsia" w:ascii="宋体" w:hAnsi="宋体"/>
          <w:color w:val="auto"/>
          <w:szCs w:val="21"/>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说明：本封面仅供参考，格式由投标人自定，但必须包括项目名称、“正本”或“副本”字样、“投标文件”字样、投标人名称、投标人单位公章、投标人法定代表人或其</w:t>
      </w:r>
      <w:r>
        <w:rPr>
          <w:rFonts w:hint="eastAsia" w:ascii="宋体" w:hAnsi="宋体"/>
          <w:bCs/>
          <w:color w:val="auto"/>
        </w:rPr>
        <w:t>代理人</w:t>
      </w:r>
      <w:r>
        <w:rPr>
          <w:rFonts w:hint="eastAsia" w:ascii="宋体" w:hAnsi="宋体"/>
          <w:color w:val="auto"/>
          <w:szCs w:val="21"/>
        </w:rPr>
        <w:t>签字。</w:t>
      </w:r>
    </w:p>
    <w:p>
      <w:pPr>
        <w:spacing w:line="360" w:lineRule="auto"/>
        <w:rPr>
          <w:rFonts w:ascii="宋体" w:hAnsi="宋体"/>
          <w:color w:val="auto"/>
          <w:szCs w:val="21"/>
        </w:rPr>
        <w:sectPr>
          <w:pgSz w:w="11906" w:h="16838"/>
          <w:pgMar w:top="1418" w:right="1134" w:bottom="1418" w:left="1418" w:header="851" w:footer="992" w:gutter="0"/>
          <w:cols w:space="720" w:num="1"/>
          <w:docGrid w:linePitch="312" w:charSpace="0"/>
        </w:sectPr>
      </w:pPr>
    </w:p>
    <w:p>
      <w:pPr>
        <w:spacing w:line="360" w:lineRule="auto"/>
        <w:jc w:val="center"/>
        <w:rPr>
          <w:rFonts w:ascii="宋体" w:hAnsi="宋体"/>
          <w:b/>
          <w:color w:val="auto"/>
          <w:sz w:val="28"/>
          <w:szCs w:val="28"/>
        </w:rPr>
      </w:pPr>
      <w:r>
        <w:rPr>
          <w:rFonts w:hint="eastAsia" w:ascii="宋体" w:hAnsi="宋体"/>
          <w:b/>
          <w:color w:val="auto"/>
          <w:sz w:val="28"/>
          <w:szCs w:val="28"/>
        </w:rPr>
        <w:t>目  录</w:t>
      </w:r>
    </w:p>
    <w:p>
      <w:pPr>
        <w:widowControl w:val="0"/>
        <w:tabs>
          <w:tab w:val="left" w:pos="540"/>
        </w:tabs>
        <w:spacing w:line="360" w:lineRule="auto"/>
        <w:ind w:firstLine="480" w:firstLineChars="200"/>
        <w:rPr>
          <w:rFonts w:ascii="宋体" w:hAnsi="宋体"/>
          <w:color w:val="auto"/>
          <w:szCs w:val="21"/>
        </w:rPr>
      </w:pPr>
    </w:p>
    <w:p>
      <w:pPr>
        <w:widowControl w:val="0"/>
        <w:numPr>
          <w:ilvl w:val="0"/>
          <w:numId w:val="20"/>
        </w:numPr>
        <w:tabs>
          <w:tab w:val="left" w:pos="540"/>
        </w:tabs>
        <w:spacing w:line="360" w:lineRule="auto"/>
        <w:ind w:left="0" w:leftChars="0" w:firstLine="420" w:firstLineChars="0"/>
        <w:rPr>
          <w:rFonts w:ascii="宋体" w:hAnsi="宋体"/>
          <w:color w:val="auto"/>
          <w:szCs w:val="21"/>
        </w:rPr>
      </w:pPr>
      <w:r>
        <w:rPr>
          <w:rFonts w:hint="eastAsia" w:ascii="宋体" w:hAnsi="宋体"/>
          <w:color w:val="auto"/>
          <w:szCs w:val="21"/>
        </w:rPr>
        <w:t>有效法定代表人身份证明（原件）</w:t>
      </w:r>
    </w:p>
    <w:p>
      <w:pPr>
        <w:widowControl w:val="0"/>
        <w:numPr>
          <w:ilvl w:val="0"/>
          <w:numId w:val="20"/>
        </w:numPr>
        <w:tabs>
          <w:tab w:val="left" w:pos="540"/>
        </w:tabs>
        <w:spacing w:line="360" w:lineRule="auto"/>
        <w:ind w:left="0" w:leftChars="0" w:firstLine="420" w:firstLineChars="0"/>
        <w:rPr>
          <w:rFonts w:ascii="宋体" w:hAnsi="宋体"/>
          <w:color w:val="auto"/>
          <w:szCs w:val="21"/>
        </w:rPr>
      </w:pPr>
      <w:r>
        <w:rPr>
          <w:rFonts w:hint="eastAsia" w:ascii="宋体" w:hAnsi="宋体"/>
          <w:color w:val="auto"/>
          <w:szCs w:val="21"/>
        </w:rPr>
        <w:t>授权委托人身份证及授权委托书（原件）（适用于有代理人的情况）</w:t>
      </w:r>
    </w:p>
    <w:p>
      <w:pPr>
        <w:widowControl w:val="0"/>
        <w:numPr>
          <w:ilvl w:val="0"/>
          <w:numId w:val="20"/>
        </w:numPr>
        <w:tabs>
          <w:tab w:val="left" w:pos="540"/>
        </w:tabs>
        <w:spacing w:line="360" w:lineRule="auto"/>
        <w:ind w:left="0" w:leftChars="0" w:firstLine="420" w:firstLineChars="0"/>
        <w:rPr>
          <w:rFonts w:ascii="宋体" w:hAnsi="宋体"/>
          <w:color w:val="auto"/>
          <w:szCs w:val="21"/>
        </w:rPr>
      </w:pPr>
      <w:r>
        <w:rPr>
          <w:rFonts w:hint="eastAsia" w:ascii="宋体" w:hAnsi="宋体"/>
          <w:color w:val="auto"/>
          <w:szCs w:val="21"/>
        </w:rPr>
        <w:t>承诺书</w:t>
      </w:r>
    </w:p>
    <w:p>
      <w:pPr>
        <w:widowControl w:val="0"/>
        <w:numPr>
          <w:ilvl w:val="0"/>
          <w:numId w:val="20"/>
        </w:numPr>
        <w:tabs>
          <w:tab w:val="left" w:pos="540"/>
        </w:tabs>
        <w:spacing w:line="360" w:lineRule="auto"/>
        <w:ind w:left="0" w:leftChars="0" w:firstLine="420" w:firstLineChars="0"/>
        <w:rPr>
          <w:rFonts w:ascii="宋体" w:hAnsi="宋体"/>
          <w:color w:val="auto"/>
          <w:szCs w:val="21"/>
        </w:rPr>
      </w:pPr>
      <w:r>
        <w:rPr>
          <w:rFonts w:hint="eastAsia" w:ascii="宋体" w:hAnsi="宋体"/>
          <w:color w:val="auto"/>
          <w:szCs w:val="21"/>
        </w:rPr>
        <w:t>有效的营业执照</w:t>
      </w:r>
    </w:p>
    <w:p>
      <w:pPr>
        <w:widowControl w:val="0"/>
        <w:numPr>
          <w:ilvl w:val="0"/>
          <w:numId w:val="20"/>
        </w:numPr>
        <w:tabs>
          <w:tab w:val="left" w:pos="540"/>
        </w:tabs>
        <w:spacing w:line="360" w:lineRule="auto"/>
        <w:ind w:left="0" w:leftChars="0" w:firstLine="420" w:firstLineChars="0"/>
        <w:rPr>
          <w:rFonts w:ascii="宋体" w:hAnsi="宋体"/>
          <w:color w:val="auto"/>
          <w:szCs w:val="21"/>
        </w:rPr>
      </w:pPr>
      <w:r>
        <w:rPr>
          <w:rFonts w:hint="eastAsia" w:ascii="宋体" w:hAnsi="宋体"/>
          <w:color w:val="auto"/>
          <w:szCs w:val="21"/>
        </w:rPr>
        <w:t>资质证书</w:t>
      </w:r>
    </w:p>
    <w:p>
      <w:pPr>
        <w:widowControl w:val="0"/>
        <w:numPr>
          <w:ilvl w:val="0"/>
          <w:numId w:val="20"/>
        </w:numPr>
        <w:tabs>
          <w:tab w:val="left" w:pos="540"/>
        </w:tabs>
        <w:spacing w:line="360" w:lineRule="auto"/>
        <w:ind w:left="0" w:leftChars="0" w:firstLine="420" w:firstLineChars="0"/>
        <w:rPr>
          <w:rFonts w:ascii="宋体" w:hAnsi="宋体"/>
          <w:color w:val="auto"/>
          <w:szCs w:val="21"/>
        </w:rPr>
      </w:pPr>
      <w:r>
        <w:rPr>
          <w:rFonts w:hint="eastAsia" w:ascii="宋体" w:hAnsi="宋体"/>
          <w:color w:val="auto"/>
          <w:szCs w:val="21"/>
        </w:rPr>
        <w:t>安全生产许可证</w:t>
      </w:r>
    </w:p>
    <w:p>
      <w:pPr>
        <w:widowControl w:val="0"/>
        <w:numPr>
          <w:ilvl w:val="0"/>
          <w:numId w:val="20"/>
        </w:numPr>
        <w:tabs>
          <w:tab w:val="left" w:pos="540"/>
        </w:tabs>
        <w:spacing w:line="360" w:lineRule="auto"/>
        <w:ind w:left="0" w:leftChars="0" w:firstLine="420" w:firstLineChars="0"/>
        <w:rPr>
          <w:rFonts w:ascii="宋体" w:hAnsi="宋体"/>
          <w:color w:val="auto"/>
          <w:szCs w:val="21"/>
        </w:rPr>
      </w:pPr>
      <w:r>
        <w:rPr>
          <w:rFonts w:hint="eastAsia" w:ascii="宋体" w:hAnsi="宋体"/>
          <w:color w:val="auto"/>
          <w:szCs w:val="21"/>
        </w:rPr>
        <w:t>《信用中国》网站的信用报告</w:t>
      </w:r>
    </w:p>
    <w:p>
      <w:pPr>
        <w:kinsoku/>
        <w:wordWrap/>
        <w:overflowPunct/>
        <w:topLinePunct w:val="0"/>
        <w:bidi w:val="0"/>
        <w:snapToGrid w:val="0"/>
        <w:spacing w:line="360" w:lineRule="auto"/>
        <w:ind w:left="0" w:leftChars="0" w:right="420" w:firstLine="5301" w:firstLineChars="2200"/>
        <w:textAlignment w:val="auto"/>
        <w:rPr>
          <w:rFonts w:hint="eastAsia" w:ascii="宋体" w:hAnsi="宋体" w:eastAsia="宋体"/>
          <w:color w:val="auto"/>
          <w:szCs w:val="21"/>
          <w:lang w:eastAsia="zh-CN"/>
        </w:rPr>
      </w:pPr>
      <w:r>
        <w:rPr>
          <w:rFonts w:ascii="宋体" w:hAnsi="宋体"/>
          <w:b/>
          <w:color w:val="auto"/>
        </w:rPr>
        <w:br w:type="page"/>
      </w:r>
    </w:p>
    <w:p>
      <w:pPr>
        <w:spacing w:line="360" w:lineRule="auto"/>
        <w:jc w:val="center"/>
        <w:rPr>
          <w:rFonts w:hint="eastAsia" w:ascii="宋体" w:hAnsi="宋体"/>
          <w:b/>
          <w:color w:val="auto"/>
        </w:rPr>
      </w:pPr>
    </w:p>
    <w:p>
      <w:pPr>
        <w:numPr>
          <w:ilvl w:val="0"/>
          <w:numId w:val="21"/>
        </w:numPr>
        <w:spacing w:line="360" w:lineRule="auto"/>
        <w:ind w:left="0" w:leftChars="0" w:firstLine="420" w:firstLineChars="0"/>
        <w:jc w:val="center"/>
        <w:rPr>
          <w:rFonts w:ascii="宋体" w:hAnsi="宋体"/>
          <w:b/>
          <w:color w:val="auto"/>
        </w:rPr>
      </w:pPr>
      <w:r>
        <w:rPr>
          <w:rFonts w:hint="eastAsia" w:ascii="宋体" w:hAnsi="宋体"/>
          <w:b/>
          <w:color w:val="auto"/>
        </w:rPr>
        <w:t>法定代表人身份证明</w:t>
      </w: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r>
        <w:rPr>
          <w:rFonts w:hint="eastAsia" w:ascii="宋体" w:hAnsi="宋体"/>
          <w:color w:val="auto"/>
          <w:szCs w:val="21"/>
        </w:rPr>
        <w:t>投标人名称：</w:t>
      </w:r>
      <w:r>
        <w:rPr>
          <w:rFonts w:hint="eastAsia" w:ascii="宋体" w:hAnsi="宋体"/>
          <w:color w:val="auto"/>
          <w:szCs w:val="21"/>
          <w:u w:val="single"/>
        </w:rPr>
        <w:t xml:space="preserve">                                </w:t>
      </w:r>
      <w:r>
        <w:rPr>
          <w:rFonts w:hint="eastAsia" w:ascii="宋体" w:hAnsi="宋体"/>
          <w:color w:val="auto"/>
          <w:szCs w:val="21"/>
        </w:rPr>
        <w:t xml:space="preserve"> </w:t>
      </w:r>
    </w:p>
    <w:p>
      <w:pPr>
        <w:spacing w:line="360" w:lineRule="auto"/>
        <w:ind w:firstLine="480" w:firstLineChars="200"/>
        <w:rPr>
          <w:rFonts w:ascii="宋体" w:hAnsi="宋体"/>
          <w:color w:val="auto"/>
          <w:szCs w:val="21"/>
        </w:rPr>
      </w:pPr>
      <w:r>
        <w:rPr>
          <w:rFonts w:hint="eastAsia" w:ascii="宋体" w:hAnsi="宋体"/>
          <w:color w:val="auto"/>
          <w:szCs w:val="21"/>
        </w:rPr>
        <w:t>单位性质：</w:t>
      </w:r>
      <w:r>
        <w:rPr>
          <w:rFonts w:hint="eastAsia" w:ascii="宋体" w:hAnsi="宋体"/>
          <w:color w:val="auto"/>
          <w:szCs w:val="21"/>
          <w:u w:val="single"/>
        </w:rPr>
        <w:t xml:space="preserve">                                  </w:t>
      </w:r>
      <w:r>
        <w:rPr>
          <w:rFonts w:hint="eastAsia" w:ascii="宋体" w:hAnsi="宋体"/>
          <w:color w:val="auto"/>
          <w:szCs w:val="21"/>
        </w:rPr>
        <w:t xml:space="preserve"> </w:t>
      </w:r>
    </w:p>
    <w:p>
      <w:pPr>
        <w:spacing w:line="360" w:lineRule="auto"/>
        <w:ind w:firstLine="480" w:firstLineChars="200"/>
        <w:rPr>
          <w:rFonts w:ascii="宋体" w:hAnsi="宋体"/>
          <w:color w:val="auto"/>
          <w:szCs w:val="21"/>
        </w:rPr>
      </w:pPr>
      <w:r>
        <w:rPr>
          <w:rFonts w:hint="eastAsia" w:ascii="宋体" w:hAnsi="宋体"/>
          <w:color w:val="auto"/>
          <w:szCs w:val="21"/>
        </w:rPr>
        <w:t>地址：</w:t>
      </w:r>
      <w:r>
        <w:rPr>
          <w:rFonts w:hint="eastAsia" w:ascii="宋体" w:hAnsi="宋体"/>
          <w:color w:val="auto"/>
          <w:szCs w:val="21"/>
          <w:u w:val="single"/>
        </w:rPr>
        <w:t xml:space="preserve">                                     </w:t>
      </w:r>
      <w:r>
        <w:rPr>
          <w:rFonts w:hint="eastAsia" w:ascii="宋体" w:hAnsi="宋体"/>
          <w:color w:val="auto"/>
          <w:szCs w:val="21"/>
        </w:rPr>
        <w:t xml:space="preserve"> </w:t>
      </w:r>
    </w:p>
    <w:p>
      <w:pPr>
        <w:spacing w:line="360" w:lineRule="auto"/>
        <w:ind w:firstLine="480" w:firstLineChars="200"/>
        <w:rPr>
          <w:rFonts w:ascii="宋体" w:hAnsi="宋体"/>
          <w:color w:val="auto"/>
          <w:szCs w:val="21"/>
        </w:rPr>
      </w:pPr>
      <w:r>
        <w:rPr>
          <w:rFonts w:hint="eastAsia" w:ascii="宋体" w:hAnsi="宋体"/>
          <w:color w:val="auto"/>
          <w:szCs w:val="21"/>
        </w:rPr>
        <w:t>成立时间：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auto"/>
        <w:ind w:firstLine="480" w:firstLineChars="200"/>
        <w:rPr>
          <w:rFonts w:ascii="宋体" w:hAnsi="宋体"/>
          <w:color w:val="auto"/>
          <w:szCs w:val="21"/>
        </w:rPr>
      </w:pPr>
      <w:r>
        <w:rPr>
          <w:rFonts w:hint="eastAsia" w:ascii="宋体" w:hAnsi="宋体"/>
          <w:color w:val="auto"/>
          <w:szCs w:val="21"/>
        </w:rPr>
        <w:t>经营期限：</w:t>
      </w:r>
      <w:r>
        <w:rPr>
          <w:rFonts w:hint="eastAsia" w:ascii="宋体" w:hAnsi="宋体"/>
          <w:color w:val="auto"/>
          <w:szCs w:val="21"/>
          <w:u w:val="single"/>
        </w:rPr>
        <w:t xml:space="preserve">                                </w:t>
      </w:r>
      <w:r>
        <w:rPr>
          <w:rFonts w:hint="eastAsia" w:ascii="宋体" w:hAnsi="宋体"/>
          <w:color w:val="auto"/>
          <w:szCs w:val="21"/>
        </w:rPr>
        <w:t xml:space="preserve"> </w:t>
      </w:r>
    </w:p>
    <w:p>
      <w:pPr>
        <w:spacing w:line="360" w:lineRule="auto"/>
        <w:ind w:firstLine="480" w:firstLineChars="200"/>
        <w:rPr>
          <w:rFonts w:ascii="宋体" w:hAnsi="宋体"/>
          <w:color w:val="auto"/>
          <w:szCs w:val="21"/>
        </w:rPr>
      </w:pP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身份证号码：</w:t>
      </w:r>
      <w:r>
        <w:rPr>
          <w:rFonts w:hint="eastAsia" w:ascii="宋体" w:hAnsi="宋体"/>
          <w:color w:val="auto"/>
          <w:szCs w:val="21"/>
          <w:u w:val="single"/>
        </w:rPr>
        <w:t xml:space="preserve">        </w:t>
      </w:r>
      <w:r>
        <w:rPr>
          <w:rFonts w:hint="eastAsia" w:ascii="宋体" w:hAnsi="宋体"/>
          <w:color w:val="auto"/>
          <w:szCs w:val="21"/>
        </w:rPr>
        <w:t>性别：</w:t>
      </w:r>
      <w:r>
        <w:rPr>
          <w:rFonts w:hint="eastAsia" w:ascii="宋体" w:hAnsi="宋体"/>
          <w:color w:val="auto"/>
          <w:szCs w:val="21"/>
          <w:u w:val="single"/>
        </w:rPr>
        <w:t xml:space="preserve">        </w:t>
      </w:r>
      <w:r>
        <w:rPr>
          <w:rFonts w:hint="eastAsia" w:ascii="宋体" w:hAnsi="宋体"/>
          <w:color w:val="auto"/>
          <w:szCs w:val="21"/>
        </w:rPr>
        <w:t>年龄：</w:t>
      </w:r>
      <w:r>
        <w:rPr>
          <w:rFonts w:hint="eastAsia" w:ascii="宋体" w:hAnsi="宋体"/>
          <w:color w:val="auto"/>
          <w:szCs w:val="21"/>
          <w:u w:val="single"/>
        </w:rPr>
        <w:t xml:space="preserve">       </w:t>
      </w:r>
      <w:r>
        <w:rPr>
          <w:rFonts w:hint="eastAsia" w:ascii="宋体" w:hAnsi="宋体"/>
          <w:color w:val="auto"/>
          <w:szCs w:val="21"/>
        </w:rPr>
        <w:t>职务：</w:t>
      </w:r>
      <w:r>
        <w:rPr>
          <w:rFonts w:hint="eastAsia" w:ascii="宋体" w:hAnsi="宋体"/>
          <w:color w:val="auto"/>
          <w:szCs w:val="21"/>
          <w:u w:val="single"/>
        </w:rPr>
        <w:t xml:space="preserve">       </w:t>
      </w:r>
      <w:r>
        <w:rPr>
          <w:rFonts w:hint="eastAsia" w:ascii="宋体" w:hAnsi="宋体"/>
          <w:color w:val="auto"/>
          <w:szCs w:val="21"/>
        </w:rPr>
        <w:t>_</w:t>
      </w:r>
    </w:p>
    <w:p>
      <w:pPr>
        <w:spacing w:line="360" w:lineRule="auto"/>
        <w:ind w:firstLine="480" w:firstLineChars="200"/>
        <w:rPr>
          <w:rFonts w:ascii="宋体" w:hAnsi="宋体"/>
          <w:color w:val="auto"/>
          <w:szCs w:val="21"/>
        </w:rPr>
      </w:pPr>
      <w:r>
        <w:rPr>
          <w:rFonts w:hint="eastAsia" w:ascii="宋体" w:hAnsi="宋体"/>
          <w:color w:val="auto"/>
          <w:szCs w:val="21"/>
        </w:rPr>
        <w:t>系</w:t>
      </w:r>
      <w:r>
        <w:rPr>
          <w:rFonts w:hint="eastAsia" w:ascii="宋体" w:hAnsi="宋体"/>
          <w:color w:val="auto"/>
          <w:szCs w:val="21"/>
          <w:u w:val="single"/>
        </w:rPr>
        <w:t xml:space="preserve">                           （投标人名称）</w:t>
      </w:r>
      <w:r>
        <w:rPr>
          <w:rFonts w:hint="eastAsia" w:ascii="宋体" w:hAnsi="宋体"/>
          <w:color w:val="auto"/>
          <w:szCs w:val="21"/>
        </w:rPr>
        <w:t>的法定代表人。</w:t>
      </w:r>
    </w:p>
    <w:p>
      <w:pPr>
        <w:spacing w:line="360" w:lineRule="auto"/>
        <w:ind w:firstLine="960" w:firstLineChars="400"/>
        <w:rPr>
          <w:rFonts w:ascii="宋体" w:hAnsi="宋体"/>
          <w:color w:val="auto"/>
          <w:szCs w:val="21"/>
        </w:rPr>
      </w:pPr>
      <w:r>
        <w:rPr>
          <w:rFonts w:hint="eastAsia" w:ascii="宋体" w:hAnsi="宋体"/>
          <w:color w:val="auto"/>
          <w:szCs w:val="21"/>
        </w:rPr>
        <w:t>特此证明。</w:t>
      </w: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hint="eastAsia" w:ascii="宋体" w:hAnsi="宋体"/>
          <w:color w:val="auto"/>
          <w:szCs w:val="21"/>
        </w:rPr>
      </w:pPr>
      <w:r>
        <w:rPr>
          <w:rFonts w:hint="eastAsia" w:ascii="宋体" w:hAnsi="宋体"/>
          <w:color w:val="auto"/>
          <w:szCs w:val="21"/>
        </w:rPr>
        <w:t>附：法定代表人身份证复印件</w:t>
      </w:r>
    </w:p>
    <w:p>
      <w:pPr>
        <w:pStyle w:val="2"/>
        <w:rPr>
          <w:color w:val="auto"/>
        </w:rPr>
      </w:pPr>
      <w:r>
        <w:rPr>
          <w:rFonts w:ascii="宋体" w:hAnsi="宋体"/>
          <w:color w:val="auto"/>
          <w:sz w:val="24"/>
        </w:rPr>
        <w:pict>
          <v:rect id="矩形 2" o:spid="_x0000_s2175" o:spt="1" style="position:absolute;left:0pt;margin-left:30.3pt;margin-top:35.95pt;height:183.9pt;width:405pt;z-index:251659264;mso-width-relative:page;mso-height-relative:page;" fillcolor="#FFFFFF" filled="t" stroked="t" coordsize="21600,21600" o:gfxdata="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5jPeNcAAAAJ&#10;AQAADwAAAAAAAAABACAAAAAiAAAAZHJzL2Rvd25yZXYueG1sUEsBAhQAFAAAAAgAh07iQD3iZd0d&#10;AgAAZAQAAA4AAAAAAAAAAQAgAAAAJgEAAGRycy9lMm9Eb2MueG1sUEsFBgAAAAAGAAYAWQEAALUF&#10;AAAAAA==&#10;">
            <v:path/>
            <v:fill on="t" focussize="0,0"/>
            <v:stroke joinstyle="miter"/>
            <v:imagedata o:title=""/>
            <o:lock v:ext="edit" aspectratio="t"/>
            <v:textbox>
              <w:txbxContent>
                <w:p/>
                <w:p/>
                <w:p/>
                <w:p/>
                <w:p/>
                <w:p>
                  <w:pPr>
                    <w:jc w:val="center"/>
                    <w:rPr>
                      <w:i/>
                      <w:color w:val="999999"/>
                    </w:rPr>
                  </w:pPr>
                  <w:r>
                    <w:rPr>
                      <w:rFonts w:hint="eastAsia"/>
                      <w:i/>
                      <w:color w:val="999999"/>
                    </w:rPr>
                    <w:t>法定代表人身份证正、反面复印件</w:t>
                  </w:r>
                </w:p>
              </w:txbxContent>
            </v:textbox>
          </v:rect>
        </w:pict>
      </w:r>
    </w:p>
    <w:p>
      <w:pPr>
        <w:spacing w:line="360" w:lineRule="auto"/>
        <w:ind w:firstLine="480" w:firstLineChars="200"/>
        <w:rPr>
          <w:rFonts w:ascii="宋体" w:hAnsi="宋体"/>
          <w:color w:val="auto"/>
          <w:szCs w:val="21"/>
        </w:rPr>
      </w:pPr>
    </w:p>
    <w:p>
      <w:pPr>
        <w:pStyle w:val="2"/>
        <w:rPr>
          <w:rFonts w:ascii="宋体" w:hAnsi="宋体"/>
          <w:color w:val="auto"/>
          <w:szCs w:val="21"/>
        </w:rPr>
      </w:pPr>
    </w:p>
    <w:p>
      <w:pPr>
        <w:rPr>
          <w:rFonts w:ascii="宋体" w:hAnsi="宋体"/>
          <w:color w:val="auto"/>
          <w:szCs w:val="21"/>
        </w:rPr>
      </w:pPr>
    </w:p>
    <w:p>
      <w:pPr>
        <w:pStyle w:val="2"/>
        <w:rPr>
          <w:rFonts w:ascii="宋体" w:hAnsi="宋体"/>
          <w:color w:val="auto"/>
          <w:szCs w:val="21"/>
        </w:rPr>
      </w:pPr>
    </w:p>
    <w:p>
      <w:pPr>
        <w:rPr>
          <w:rFonts w:ascii="宋体" w:hAnsi="宋体"/>
          <w:color w:val="auto"/>
          <w:szCs w:val="21"/>
        </w:rPr>
      </w:pPr>
    </w:p>
    <w:p>
      <w:pPr>
        <w:pStyle w:val="2"/>
        <w:rPr>
          <w:rFonts w:ascii="宋体" w:hAnsi="宋体"/>
          <w:color w:val="auto"/>
          <w:szCs w:val="21"/>
        </w:rPr>
      </w:pPr>
    </w:p>
    <w:p>
      <w:pPr>
        <w:rPr>
          <w:rFonts w:ascii="宋体" w:hAnsi="宋体"/>
          <w:color w:val="auto"/>
          <w:szCs w:val="21"/>
        </w:rPr>
      </w:pPr>
    </w:p>
    <w:p>
      <w:pPr>
        <w:pStyle w:val="2"/>
        <w:rPr>
          <w:color w:val="auto"/>
        </w:rPr>
      </w:pPr>
    </w:p>
    <w:p>
      <w:pPr>
        <w:spacing w:line="360" w:lineRule="auto"/>
        <w:jc w:val="right"/>
        <w:rPr>
          <w:rFonts w:ascii="宋体" w:hAnsi="宋体"/>
          <w:color w:val="auto"/>
          <w:szCs w:val="21"/>
        </w:rPr>
      </w:pPr>
      <w:r>
        <w:rPr>
          <w:rFonts w:hint="eastAsia" w:ascii="宋体" w:hAnsi="宋体"/>
          <w:color w:val="auto"/>
          <w:szCs w:val="21"/>
        </w:rPr>
        <w:t>投标人：</w:t>
      </w:r>
      <w:r>
        <w:rPr>
          <w:rFonts w:hint="eastAsia" w:ascii="宋体" w:hAnsi="宋体"/>
          <w:color w:val="auto"/>
          <w:szCs w:val="21"/>
          <w:u w:val="single"/>
        </w:rPr>
        <w:t xml:space="preserve">                      </w:t>
      </w:r>
      <w:r>
        <w:rPr>
          <w:rFonts w:hint="eastAsia" w:ascii="宋体" w:hAnsi="宋体"/>
          <w:color w:val="auto"/>
          <w:szCs w:val="21"/>
        </w:rPr>
        <w:t>（盖单位章）</w:t>
      </w:r>
    </w:p>
    <w:p>
      <w:pPr>
        <w:spacing w:line="360" w:lineRule="auto"/>
        <w:ind w:firstLine="5160" w:firstLineChars="2150"/>
        <w:rPr>
          <w:rFonts w:ascii="宋体" w:hAnsi="宋体"/>
          <w:color w:val="auto"/>
          <w:szCs w:val="21"/>
          <w:u w:val="single"/>
        </w:rPr>
      </w:pPr>
    </w:p>
    <w:p>
      <w:pPr>
        <w:spacing w:line="360" w:lineRule="auto"/>
        <w:ind w:firstLine="5160" w:firstLineChars="215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pacing w:line="360" w:lineRule="auto"/>
        <w:ind w:firstLine="480" w:firstLineChars="200"/>
        <w:rPr>
          <w:rFonts w:ascii="宋体" w:hAnsi="宋体"/>
          <w:color w:val="auto"/>
          <w:szCs w:val="21"/>
        </w:rPr>
        <w:sectPr>
          <w:pgSz w:w="11906" w:h="16838"/>
          <w:pgMar w:top="1418" w:right="1134" w:bottom="1418" w:left="1418" w:header="851" w:footer="992" w:gutter="0"/>
          <w:cols w:space="720" w:num="1"/>
          <w:docGrid w:linePitch="312" w:charSpace="0"/>
        </w:sectPr>
      </w:pPr>
    </w:p>
    <w:p>
      <w:pPr>
        <w:numPr>
          <w:ilvl w:val="0"/>
          <w:numId w:val="21"/>
        </w:numPr>
        <w:spacing w:line="360" w:lineRule="auto"/>
        <w:ind w:left="0" w:leftChars="0" w:firstLine="420" w:firstLineChars="0"/>
        <w:jc w:val="center"/>
        <w:rPr>
          <w:rFonts w:ascii="宋体" w:hAnsi="宋体"/>
          <w:b/>
          <w:color w:val="auto"/>
          <w:kern w:val="0"/>
          <w:sz w:val="24"/>
          <w:szCs w:val="24"/>
        </w:rPr>
      </w:pPr>
      <w:r>
        <w:rPr>
          <w:rFonts w:hint="eastAsia" w:ascii="宋体" w:hAnsi="宋体"/>
          <w:b/>
          <w:color w:val="auto"/>
          <w:kern w:val="0"/>
          <w:sz w:val="24"/>
          <w:szCs w:val="24"/>
        </w:rPr>
        <w:t>授权委托书</w:t>
      </w:r>
    </w:p>
    <w:p>
      <w:pPr>
        <w:spacing w:line="360" w:lineRule="auto"/>
        <w:ind w:firstLine="360" w:firstLineChars="150"/>
        <w:rPr>
          <w:rFonts w:ascii="宋体" w:hAnsi="宋体"/>
          <w:color w:val="auto"/>
          <w:szCs w:val="21"/>
        </w:rPr>
      </w:pPr>
    </w:p>
    <w:p>
      <w:pPr>
        <w:spacing w:line="360" w:lineRule="auto"/>
        <w:ind w:firstLine="360" w:firstLineChars="150"/>
        <w:rPr>
          <w:rFonts w:ascii="宋体" w:hAnsi="宋体"/>
          <w:color w:val="auto"/>
          <w:kern w:val="10"/>
          <w:szCs w:val="21"/>
        </w:rPr>
      </w:pPr>
      <w:r>
        <w:rPr>
          <w:rFonts w:hint="eastAsia" w:ascii="宋体" w:hAnsi="宋体"/>
          <w:color w:val="auto"/>
          <w:szCs w:val="21"/>
        </w:rPr>
        <w:t>本人</w:t>
      </w:r>
      <w:r>
        <w:rPr>
          <w:rFonts w:hint="eastAsia" w:ascii="宋体" w:hAnsi="宋体"/>
          <w:color w:val="auto"/>
          <w:szCs w:val="21"/>
          <w:u w:val="single"/>
        </w:rPr>
        <w:t xml:space="preserve">       </w:t>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rPr>
        <w:t>（投标人名称）的法定代表人，现委托</w:t>
      </w:r>
      <w:r>
        <w:rPr>
          <w:rFonts w:hint="eastAsia" w:ascii="宋体" w:hAnsi="宋体"/>
          <w:color w:val="auto"/>
          <w:szCs w:val="21"/>
          <w:u w:val="single"/>
        </w:rPr>
        <w:t xml:space="preserve">       </w:t>
      </w:r>
      <w:r>
        <w:rPr>
          <w:rFonts w:hint="eastAsia" w:ascii="宋体" w:hAnsi="宋体"/>
          <w:color w:val="auto"/>
          <w:szCs w:val="21"/>
        </w:rPr>
        <w:t>（姓名）为我方代理人。代理人根据授权，以我方名义签署、澄清确认、说明、补正、递交、撤回、修改</w:t>
      </w:r>
      <w:r>
        <w:rPr>
          <w:rFonts w:hint="eastAsia" w:ascii="宋体" w:hAnsi="宋体"/>
          <w:color w:val="auto"/>
          <w:szCs w:val="21"/>
          <w:u w:val="single"/>
        </w:rPr>
        <w:t xml:space="preserve">        </w:t>
      </w:r>
      <w:r>
        <w:rPr>
          <w:rFonts w:hint="eastAsia" w:ascii="宋体" w:hAnsi="宋体"/>
          <w:color w:val="auto"/>
          <w:szCs w:val="21"/>
        </w:rPr>
        <w:t>（项目名称）投标文件、签订合同和处理有关事宜</w:t>
      </w:r>
      <w:r>
        <w:rPr>
          <w:rFonts w:hint="eastAsia" w:ascii="宋体" w:hAnsi="宋体"/>
          <w:color w:val="auto"/>
          <w:kern w:val="10"/>
          <w:szCs w:val="21"/>
        </w:rPr>
        <w:t>，其法律后果由我方承担。</w:t>
      </w:r>
    </w:p>
    <w:p>
      <w:pPr>
        <w:spacing w:line="360" w:lineRule="auto"/>
        <w:ind w:firstLine="480" w:firstLineChars="200"/>
        <w:rPr>
          <w:rFonts w:ascii="宋体" w:hAnsi="宋体"/>
          <w:color w:val="auto"/>
          <w:szCs w:val="21"/>
        </w:rPr>
      </w:pPr>
      <w:r>
        <w:rPr>
          <w:rFonts w:hint="eastAsia" w:ascii="宋体" w:hAnsi="宋体"/>
          <w:color w:val="auto"/>
          <w:szCs w:val="21"/>
        </w:rPr>
        <w:t>委托期限：</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日 至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r>
        <w:rPr>
          <w:rFonts w:hint="eastAsia" w:ascii="宋体" w:hAnsi="宋体"/>
          <w:color w:val="auto"/>
          <w:szCs w:val="21"/>
          <w:lang w:val="zh-CN"/>
        </w:rPr>
        <w:t>委托期限</w:t>
      </w:r>
      <w:r>
        <w:rPr>
          <w:rFonts w:hint="eastAsia" w:ascii="宋体" w:hAnsi="宋体"/>
          <w:color w:val="auto"/>
          <w:szCs w:val="21"/>
        </w:rPr>
        <w:t>建议</w:t>
      </w:r>
      <w:r>
        <w:rPr>
          <w:rFonts w:hint="eastAsia" w:ascii="宋体" w:hAnsi="宋体"/>
          <w:color w:val="auto"/>
          <w:szCs w:val="21"/>
          <w:lang w:val="zh-CN"/>
        </w:rPr>
        <w:t>不少于投标有效期。</w:t>
      </w:r>
      <w:r>
        <w:rPr>
          <w:rFonts w:hint="eastAsia" w:ascii="宋体" w:hAnsi="宋体"/>
          <w:color w:val="auto"/>
          <w:szCs w:val="21"/>
        </w:rPr>
        <w:t>）</w:t>
      </w:r>
    </w:p>
    <w:p>
      <w:pPr>
        <w:spacing w:line="360" w:lineRule="auto"/>
        <w:ind w:firstLine="480" w:firstLineChars="200"/>
        <w:rPr>
          <w:rFonts w:ascii="宋体" w:hAnsi="宋体"/>
          <w:color w:val="auto"/>
          <w:szCs w:val="21"/>
        </w:rPr>
      </w:pPr>
      <w:r>
        <w:rPr>
          <w:rFonts w:hint="eastAsia" w:ascii="宋体" w:hAnsi="宋体"/>
          <w:color w:val="auto"/>
          <w:szCs w:val="21"/>
        </w:rPr>
        <w:t>代理人无转委托权。</w:t>
      </w: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r>
        <w:rPr>
          <w:rFonts w:hint="eastAsia" w:ascii="宋体" w:hAnsi="宋体"/>
          <w:color w:val="auto"/>
          <w:szCs w:val="21"/>
        </w:rPr>
        <w:t>附：受托人身份证复印件</w:t>
      </w:r>
    </w:p>
    <w:p>
      <w:pPr>
        <w:spacing w:line="360" w:lineRule="auto"/>
        <w:jc w:val="both"/>
        <w:rPr>
          <w:rFonts w:hint="eastAsia" w:ascii="宋体" w:hAnsi="宋体"/>
          <w:color w:val="auto"/>
          <w:szCs w:val="21"/>
        </w:rPr>
      </w:pPr>
      <w:r>
        <w:rPr>
          <w:rFonts w:ascii="宋体" w:hAnsi="宋体"/>
          <w:color w:val="auto"/>
          <w:szCs w:val="21"/>
        </w:rPr>
        <w:pict>
          <v:rect id="矩形 3" o:spid="_x0000_s2176" o:spt="1" style="position:absolute;left:0pt;margin-left:29.55pt;margin-top:16.65pt;height:182.25pt;width:405pt;z-index:251661312;mso-width-relative:page;mso-height-relative:page;" fillcolor="#FFFFFF" filled="t" stroked="t" coordsize="21600,21600" o:gfxdata="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6jz211QAAAAkBAAAP&#10;AAAAAAAAAAEAIAAAACIAAABkcnMvZG93bnJldi54bWxQSwECFAAUAAAACACHTuJAkC6r+xsCAABk&#10;BAAADgAAAAAAAAABACAAAAAkAQAAZHJzL2Uyb0RvYy54bWxQSwUGAAAAAAYABgBZAQAAsQUAAAAA&#10;">
            <v:path/>
            <v:fill on="t" focussize="0,0"/>
            <v:stroke joinstyle="miter"/>
            <v:imagedata o:title=""/>
            <o:lock v:ext="edit" aspectratio="t"/>
            <v:textbox>
              <w:txbxContent>
                <w:p/>
                <w:p/>
                <w:p/>
                <w:p/>
                <w:p/>
                <w:p>
                  <w:pPr>
                    <w:jc w:val="center"/>
                    <w:rPr>
                      <w:i/>
                      <w:color w:val="999999"/>
                    </w:rPr>
                  </w:pPr>
                  <w:r>
                    <w:rPr>
                      <w:rFonts w:hint="eastAsia"/>
                      <w:i/>
                      <w:color w:val="999999"/>
                    </w:rPr>
                    <w:t>被授权人身份证正、反面复印件</w:t>
                  </w:r>
                </w:p>
              </w:txbxContent>
            </v:textbox>
          </v:rect>
        </w:pict>
      </w:r>
    </w:p>
    <w:p>
      <w:pPr>
        <w:spacing w:line="360" w:lineRule="auto"/>
        <w:jc w:val="right"/>
        <w:rPr>
          <w:rFonts w:hint="eastAsia" w:ascii="宋体" w:hAnsi="宋体"/>
          <w:color w:val="auto"/>
          <w:szCs w:val="21"/>
        </w:rPr>
      </w:pPr>
    </w:p>
    <w:p>
      <w:pPr>
        <w:spacing w:line="360" w:lineRule="auto"/>
        <w:jc w:val="right"/>
        <w:rPr>
          <w:rFonts w:hint="eastAsia" w:ascii="宋体" w:hAnsi="宋体"/>
          <w:color w:val="auto"/>
          <w:szCs w:val="21"/>
        </w:rPr>
      </w:pPr>
    </w:p>
    <w:p>
      <w:pPr>
        <w:spacing w:line="360" w:lineRule="auto"/>
        <w:jc w:val="right"/>
        <w:rPr>
          <w:rFonts w:hint="eastAsia" w:ascii="宋体" w:hAnsi="宋体"/>
          <w:color w:val="auto"/>
          <w:szCs w:val="21"/>
        </w:rPr>
      </w:pPr>
    </w:p>
    <w:p>
      <w:pPr>
        <w:spacing w:line="360" w:lineRule="auto"/>
        <w:jc w:val="right"/>
        <w:rPr>
          <w:rFonts w:hint="eastAsia" w:ascii="宋体" w:hAnsi="宋体"/>
          <w:color w:val="auto"/>
          <w:szCs w:val="21"/>
        </w:rPr>
      </w:pPr>
    </w:p>
    <w:p>
      <w:pPr>
        <w:spacing w:line="360" w:lineRule="auto"/>
        <w:jc w:val="right"/>
        <w:rPr>
          <w:rFonts w:hint="eastAsia" w:ascii="宋体" w:hAnsi="宋体"/>
          <w:color w:val="auto"/>
          <w:szCs w:val="21"/>
        </w:rPr>
      </w:pPr>
    </w:p>
    <w:p>
      <w:pPr>
        <w:spacing w:line="360" w:lineRule="auto"/>
        <w:jc w:val="right"/>
        <w:rPr>
          <w:rFonts w:hint="eastAsia" w:ascii="宋体" w:hAnsi="宋体"/>
          <w:color w:val="auto"/>
          <w:szCs w:val="21"/>
        </w:rPr>
      </w:pPr>
    </w:p>
    <w:p>
      <w:pPr>
        <w:spacing w:line="360" w:lineRule="auto"/>
        <w:jc w:val="right"/>
        <w:rPr>
          <w:rFonts w:hint="eastAsia" w:ascii="宋体" w:hAnsi="宋体"/>
          <w:color w:val="auto"/>
          <w:szCs w:val="21"/>
        </w:rPr>
      </w:pPr>
    </w:p>
    <w:p>
      <w:pPr>
        <w:spacing w:line="360" w:lineRule="auto"/>
        <w:jc w:val="right"/>
        <w:rPr>
          <w:rFonts w:hint="eastAsia" w:ascii="宋体" w:hAnsi="宋体"/>
          <w:color w:val="auto"/>
          <w:szCs w:val="21"/>
        </w:rPr>
      </w:pPr>
    </w:p>
    <w:p>
      <w:pPr>
        <w:spacing w:line="360" w:lineRule="auto"/>
        <w:jc w:val="right"/>
        <w:rPr>
          <w:rFonts w:hint="eastAsia" w:ascii="宋体" w:hAnsi="宋体"/>
          <w:color w:val="auto"/>
          <w:szCs w:val="21"/>
        </w:rPr>
      </w:pPr>
    </w:p>
    <w:p>
      <w:pPr>
        <w:spacing w:line="360" w:lineRule="auto"/>
        <w:jc w:val="right"/>
        <w:rPr>
          <w:rFonts w:ascii="宋体" w:hAnsi="宋体"/>
          <w:color w:val="auto"/>
          <w:szCs w:val="21"/>
        </w:rPr>
      </w:pPr>
      <w:r>
        <w:rPr>
          <w:rFonts w:hint="eastAsia" w:ascii="宋体" w:hAnsi="宋体"/>
          <w:color w:val="auto"/>
          <w:szCs w:val="21"/>
        </w:rPr>
        <w:t xml:space="preserve"> 投标人：</w:t>
      </w:r>
      <w:r>
        <w:rPr>
          <w:rFonts w:hint="eastAsia" w:ascii="宋体" w:hAnsi="宋体"/>
          <w:color w:val="auto"/>
          <w:szCs w:val="21"/>
          <w:u w:val="single"/>
        </w:rPr>
        <w:t xml:space="preserve">                          </w:t>
      </w:r>
      <w:r>
        <w:rPr>
          <w:rFonts w:hint="eastAsia" w:ascii="宋体" w:hAnsi="宋体"/>
          <w:color w:val="auto"/>
          <w:szCs w:val="21"/>
        </w:rPr>
        <w:t>（盖单位章）</w:t>
      </w:r>
    </w:p>
    <w:p>
      <w:pPr>
        <w:spacing w:line="360" w:lineRule="auto"/>
        <w:jc w:val="right"/>
        <w:rPr>
          <w:rFonts w:ascii="宋体" w:hAnsi="宋体"/>
          <w:color w:val="auto"/>
          <w:szCs w:val="21"/>
        </w:rPr>
      </w:pPr>
    </w:p>
    <w:p>
      <w:pPr>
        <w:spacing w:line="360" w:lineRule="auto"/>
        <w:jc w:val="center"/>
        <w:rPr>
          <w:rFonts w:ascii="宋体" w:hAnsi="宋体"/>
          <w:color w:val="auto"/>
          <w:szCs w:val="21"/>
        </w:rPr>
      </w:pPr>
      <w:r>
        <w:rPr>
          <w:rFonts w:hint="eastAsia" w:ascii="宋体" w:hAnsi="宋体"/>
          <w:color w:val="auto"/>
          <w:szCs w:val="21"/>
        </w:rPr>
        <w:t xml:space="preserve">                                     法定代表人：</w:t>
      </w:r>
      <w:r>
        <w:rPr>
          <w:rFonts w:hint="eastAsia" w:ascii="宋体" w:hAnsi="宋体"/>
          <w:color w:val="auto"/>
          <w:szCs w:val="21"/>
          <w:u w:val="single"/>
        </w:rPr>
        <w:t xml:space="preserve">                     </w:t>
      </w:r>
      <w:r>
        <w:rPr>
          <w:rFonts w:hint="eastAsia" w:ascii="宋体" w:hAnsi="宋体"/>
          <w:color w:val="auto"/>
          <w:szCs w:val="21"/>
        </w:rPr>
        <w:t>（签字）</w:t>
      </w:r>
    </w:p>
    <w:p>
      <w:pPr>
        <w:spacing w:line="360" w:lineRule="auto"/>
        <w:jc w:val="center"/>
        <w:rPr>
          <w:rFonts w:ascii="宋体" w:hAnsi="宋体"/>
          <w:color w:val="auto"/>
          <w:szCs w:val="21"/>
        </w:rPr>
      </w:pPr>
    </w:p>
    <w:p>
      <w:pPr>
        <w:spacing w:line="360" w:lineRule="auto"/>
        <w:ind w:right="560"/>
        <w:rPr>
          <w:rFonts w:ascii="宋体" w:hAnsi="宋体"/>
          <w:color w:val="auto"/>
          <w:szCs w:val="21"/>
          <w:u w:val="single"/>
        </w:rPr>
      </w:pPr>
      <w:r>
        <w:rPr>
          <w:rFonts w:hint="eastAsia" w:ascii="宋体" w:hAnsi="宋体"/>
          <w:color w:val="auto"/>
          <w:szCs w:val="21"/>
        </w:rPr>
        <w:t xml:space="preserve">                                           身份证号码：</w:t>
      </w:r>
      <w:r>
        <w:rPr>
          <w:rFonts w:hint="eastAsia" w:ascii="宋体" w:hAnsi="宋体"/>
          <w:color w:val="auto"/>
          <w:szCs w:val="21"/>
          <w:u w:val="single"/>
        </w:rPr>
        <w:t xml:space="preserve">                              </w:t>
      </w:r>
    </w:p>
    <w:p>
      <w:pPr>
        <w:spacing w:line="360" w:lineRule="auto"/>
        <w:ind w:right="560"/>
        <w:rPr>
          <w:rFonts w:ascii="宋体" w:hAnsi="宋体"/>
          <w:color w:val="auto"/>
          <w:szCs w:val="21"/>
          <w:u w:val="single"/>
        </w:rPr>
      </w:pPr>
    </w:p>
    <w:p>
      <w:pPr>
        <w:spacing w:line="360" w:lineRule="auto"/>
        <w:jc w:val="center"/>
        <w:rPr>
          <w:rFonts w:ascii="宋体" w:hAnsi="宋体"/>
          <w:color w:val="auto"/>
          <w:szCs w:val="21"/>
        </w:rPr>
      </w:pPr>
      <w:r>
        <w:rPr>
          <w:rFonts w:hint="eastAsia" w:ascii="宋体" w:hAnsi="宋体"/>
          <w:color w:val="auto"/>
          <w:szCs w:val="21"/>
        </w:rPr>
        <w:t xml:space="preserve">                                          代理人：</w:t>
      </w:r>
      <w:r>
        <w:rPr>
          <w:rFonts w:hint="eastAsia" w:ascii="宋体" w:hAnsi="宋体"/>
          <w:color w:val="auto"/>
          <w:szCs w:val="21"/>
          <w:u w:val="single"/>
        </w:rPr>
        <w:t xml:space="preserve">                   </w:t>
      </w:r>
      <w:r>
        <w:rPr>
          <w:rFonts w:hint="eastAsia" w:ascii="宋体" w:hAnsi="宋体"/>
          <w:color w:val="auto"/>
          <w:szCs w:val="21"/>
        </w:rPr>
        <w:t>（签字）</w:t>
      </w:r>
    </w:p>
    <w:p>
      <w:pPr>
        <w:spacing w:line="360" w:lineRule="auto"/>
        <w:jc w:val="center"/>
        <w:rPr>
          <w:rFonts w:ascii="宋体" w:hAnsi="宋体"/>
          <w:color w:val="auto"/>
          <w:szCs w:val="21"/>
        </w:rPr>
      </w:pPr>
    </w:p>
    <w:p>
      <w:pPr>
        <w:spacing w:line="360" w:lineRule="auto"/>
        <w:ind w:right="1120" w:firstLine="5160" w:firstLineChars="2150"/>
        <w:rPr>
          <w:rFonts w:ascii="宋体" w:hAnsi="宋体"/>
          <w:color w:val="auto"/>
          <w:szCs w:val="21"/>
          <w:u w:val="single"/>
        </w:rPr>
      </w:pPr>
      <w:r>
        <w:rPr>
          <w:rFonts w:hint="eastAsia" w:ascii="宋体" w:hAnsi="宋体"/>
          <w:color w:val="auto"/>
          <w:szCs w:val="21"/>
        </w:rPr>
        <w:t>身份证号码：</w:t>
      </w:r>
      <w:r>
        <w:rPr>
          <w:rFonts w:hint="eastAsia" w:ascii="宋体" w:hAnsi="宋体"/>
          <w:color w:val="auto"/>
          <w:szCs w:val="21"/>
          <w:u w:val="single"/>
        </w:rPr>
        <w:t xml:space="preserve">                             </w:t>
      </w:r>
    </w:p>
    <w:p>
      <w:pPr>
        <w:numPr>
          <w:ilvl w:val="0"/>
          <w:numId w:val="21"/>
        </w:numPr>
        <w:spacing w:line="360" w:lineRule="auto"/>
        <w:ind w:left="0" w:leftChars="0" w:firstLine="420" w:firstLineChars="0"/>
        <w:jc w:val="center"/>
        <w:rPr>
          <w:rFonts w:hint="eastAsia" w:ascii="宋体" w:hAnsi="宋体" w:eastAsia="宋体" w:cs="宋体"/>
          <w:b/>
          <w:color w:val="auto"/>
          <w:sz w:val="24"/>
          <w:szCs w:val="24"/>
        </w:rPr>
      </w:pPr>
      <w:r>
        <w:rPr>
          <w:rFonts w:hint="eastAsia" w:ascii="宋体" w:hAnsi="宋体"/>
          <w:color w:val="auto"/>
          <w:szCs w:val="21"/>
          <w:u w:val="single"/>
        </w:rPr>
        <w:br w:type="page"/>
      </w:r>
      <w:r>
        <w:rPr>
          <w:rFonts w:hint="eastAsia" w:ascii="宋体" w:hAnsi="宋体" w:eastAsia="宋体" w:cs="宋体"/>
          <w:b/>
          <w:color w:val="auto"/>
          <w:sz w:val="24"/>
          <w:szCs w:val="24"/>
        </w:rPr>
        <w:t>承  诺  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（招标人）               </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根据 </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招标文件、招标答疑要求和内容，我公司全面响应，严格按照招标文件精神及施工图纸进行施工，并作出郑重承诺：</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我方不存在招标文件第二章“投标人须知”第1.4.3项所规定的任何一种情形，否则招标人有权取消我方的中标资格。 </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我方未在“信用中国”网站（www.creditchina.gov.cn）被列为失信被执行人、未在国家企业信用信息公示系统被列入“严重违法失信企业名单”。</w:t>
      </w:r>
    </w:p>
    <w:p>
      <w:pPr>
        <w:keepNext w:val="0"/>
        <w:keepLines w:val="0"/>
        <w:pageBreakBefore w:val="0"/>
        <w:numPr>
          <w:ilvl w:val="0"/>
          <w:numId w:val="22"/>
        </w:numPr>
        <w:kinsoku/>
        <w:wordWrap/>
        <w:overflowPunct/>
        <w:topLinePunct w:val="0"/>
        <w:autoSpaceDE/>
        <w:autoSpaceDN/>
        <w:bidi w:val="0"/>
        <w:adjustRightInd/>
        <w:spacing w:line="360" w:lineRule="auto"/>
        <w:ind w:left="0" w:leftChars="0" w:firstLine="40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我方保证在本项目投标中不与其他单位串通投标、不以行贿手段谋取中标、不挂靠或者借用资质投标，不胁迫其他潜在投标人放弃投标，不胁迫中标人放弃中标、转让中标项目。</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CN" w:bidi="ar-SA"/>
        </w:rPr>
        <w:t>我方保证所递交的投标文件及其后所提供的一切资料内容完整、真实、合法、有效。如我方成为本项目的中标候选人，我方同意并授权招标人将我方投标文件按法定要求进行公开。</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施工工期：</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日历天</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工程质量：合格</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施工安全：</w:t>
      </w:r>
      <w:r>
        <w:rPr>
          <w:rFonts w:hint="eastAsia" w:ascii="宋体" w:hAnsi="宋体" w:cs="宋体"/>
          <w:color w:val="auto"/>
          <w:kern w:val="2"/>
          <w:sz w:val="24"/>
          <w:szCs w:val="24"/>
          <w:lang w:val="en-US" w:eastAsia="zh-CN" w:bidi="ar-SA"/>
        </w:rPr>
        <w:t>合格</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文明施工：</w:t>
      </w:r>
      <w:r>
        <w:rPr>
          <w:rFonts w:hint="eastAsia" w:ascii="宋体" w:hAnsi="宋体" w:cs="宋体"/>
          <w:color w:val="auto"/>
          <w:kern w:val="2"/>
          <w:sz w:val="24"/>
          <w:szCs w:val="24"/>
          <w:lang w:val="en-US" w:eastAsia="zh-CN" w:bidi="ar-SA"/>
        </w:rPr>
        <w:t>合格</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投标有效期：</w:t>
      </w:r>
      <w:r>
        <w:rPr>
          <w:rFonts w:hint="eastAsia" w:ascii="宋体" w:hAnsi="宋体" w:eastAsia="宋体" w:cs="宋体"/>
          <w:color w:val="auto"/>
          <w:kern w:val="2"/>
          <w:sz w:val="24"/>
          <w:szCs w:val="24"/>
          <w:u w:val="single"/>
          <w:lang w:val="en-US" w:eastAsia="zh-CN" w:bidi="ar-SA"/>
        </w:rPr>
        <w:t>90</w:t>
      </w:r>
      <w:r>
        <w:rPr>
          <w:rFonts w:hint="eastAsia" w:ascii="宋体" w:hAnsi="宋体" w:eastAsia="宋体" w:cs="宋体"/>
          <w:color w:val="auto"/>
          <w:kern w:val="2"/>
          <w:sz w:val="24"/>
          <w:szCs w:val="24"/>
          <w:lang w:val="en-US" w:eastAsia="zh-CN" w:bidi="ar-SA"/>
        </w:rPr>
        <w:t>天</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技术标准和要求：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00" w:left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（保证按招标文件的技术标准和要求完成本项目，否则作不良行为处理。）</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分包企业需经招标人同意并满足前附表要求（该条款仅适用允许分包的项目）。</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如果我方中标，我司将严格执行《关于印发&lt;广东省建设工程领域工人工资支付专用账户管理办法&gt;的通知》（粤人社规[2018]14号）以及中山市工程建设领域有关农民工工资管理的规定。</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0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zh-CN" w:eastAsia="zh-CN" w:bidi="ar-SA"/>
        </w:rPr>
        <w:t>我方违反上述承诺、保证，或上述声明与事实不符，一经查实，我方愿意接受中山市建设行政主管部门记录不良行为，承担由此产生的一切责任。</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420" w:firstLine="5280" w:firstLineChars="2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 诺 单 位 (公章)：</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420" w:firstLine="5280" w:firstLineChars="2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或代理人</w:t>
      </w:r>
      <w:r>
        <w:rPr>
          <w:rFonts w:hint="eastAsia" w:ascii="宋体" w:hAnsi="宋体" w:eastAsia="宋体" w:cs="宋体"/>
          <w:color w:val="auto"/>
          <w:sz w:val="24"/>
          <w:szCs w:val="24"/>
        </w:rPr>
        <w:t xml:space="preserve"> (签字)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420" w:firstLine="5280" w:firstLineChars="2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项目负责人（签字）：</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420" w:firstLine="5280" w:firstLineChars="2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技术负责人（签字）：</w:t>
      </w:r>
    </w:p>
    <w:p>
      <w:pPr>
        <w:keepNext w:val="0"/>
        <w:keepLines w:val="0"/>
        <w:pageBreakBefore w:val="0"/>
        <w:widowControl w:val="0"/>
        <w:tabs>
          <w:tab w:val="left" w:pos="5520"/>
        </w:tabs>
        <w:kinsoku/>
        <w:wordWrap/>
        <w:overflowPunct/>
        <w:topLinePunct w:val="0"/>
        <w:autoSpaceDE/>
        <w:autoSpaceDN/>
        <w:bidi w:val="0"/>
        <w:adjustRightInd/>
        <w:spacing w:line="360" w:lineRule="auto"/>
        <w:ind w:left="5280" w:leftChars="2200" w:right="84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   期：</w:t>
      </w:r>
    </w:p>
    <w:p>
      <w:pPr>
        <w:spacing w:line="360" w:lineRule="auto"/>
        <w:ind w:firstLine="480" w:firstLineChars="200"/>
        <w:rPr>
          <w:rFonts w:ascii="宋体" w:hAnsi="宋体"/>
          <w:color w:val="auto"/>
          <w:szCs w:val="21"/>
        </w:rPr>
        <w:sectPr>
          <w:pgSz w:w="11906" w:h="16838"/>
          <w:pgMar w:top="1418" w:right="1134" w:bottom="1418" w:left="1418" w:header="851" w:footer="992" w:gutter="0"/>
          <w:cols w:space="720" w:num="1"/>
          <w:docGrid w:linePitch="312" w:charSpace="0"/>
        </w:sectPr>
      </w:pPr>
    </w:p>
    <w:p>
      <w:pPr>
        <w:widowControl w:val="0"/>
        <w:numPr>
          <w:ilvl w:val="0"/>
          <w:numId w:val="23"/>
        </w:numPr>
        <w:tabs>
          <w:tab w:val="left" w:pos="540"/>
        </w:tabs>
        <w:spacing w:line="360" w:lineRule="auto"/>
        <w:ind w:left="0" w:leftChars="0" w:firstLine="420" w:firstLineChars="0"/>
        <w:rPr>
          <w:rFonts w:ascii="宋体" w:hAnsi="宋体"/>
          <w:color w:val="auto"/>
          <w:szCs w:val="21"/>
        </w:rPr>
      </w:pPr>
      <w:r>
        <w:rPr>
          <w:rFonts w:hint="eastAsia" w:ascii="宋体" w:hAnsi="宋体"/>
          <w:color w:val="auto"/>
          <w:szCs w:val="21"/>
        </w:rPr>
        <w:t>有效的营业执照</w:t>
      </w:r>
    </w:p>
    <w:p>
      <w:pPr>
        <w:widowControl w:val="0"/>
        <w:numPr>
          <w:ilvl w:val="0"/>
          <w:numId w:val="23"/>
        </w:numPr>
        <w:tabs>
          <w:tab w:val="left" w:pos="540"/>
        </w:tabs>
        <w:spacing w:line="360" w:lineRule="auto"/>
        <w:ind w:left="0" w:leftChars="0" w:firstLine="420" w:firstLineChars="0"/>
        <w:rPr>
          <w:rFonts w:ascii="宋体" w:hAnsi="宋体"/>
          <w:color w:val="auto"/>
          <w:szCs w:val="21"/>
        </w:rPr>
      </w:pPr>
      <w:r>
        <w:rPr>
          <w:rFonts w:hint="eastAsia" w:ascii="宋体" w:hAnsi="宋体"/>
          <w:color w:val="auto"/>
          <w:szCs w:val="21"/>
        </w:rPr>
        <w:t>资质证书</w:t>
      </w:r>
    </w:p>
    <w:p>
      <w:pPr>
        <w:widowControl w:val="0"/>
        <w:numPr>
          <w:ilvl w:val="0"/>
          <w:numId w:val="23"/>
        </w:numPr>
        <w:tabs>
          <w:tab w:val="left" w:pos="540"/>
        </w:tabs>
        <w:spacing w:line="360" w:lineRule="auto"/>
        <w:ind w:left="0" w:leftChars="0" w:firstLine="420" w:firstLineChars="0"/>
        <w:rPr>
          <w:rFonts w:ascii="宋体" w:hAnsi="宋体"/>
          <w:color w:val="auto"/>
          <w:szCs w:val="21"/>
        </w:rPr>
      </w:pPr>
      <w:r>
        <w:rPr>
          <w:rFonts w:hint="eastAsia" w:ascii="宋体" w:hAnsi="宋体"/>
          <w:color w:val="auto"/>
          <w:szCs w:val="21"/>
        </w:rPr>
        <w:t>安全生产许可证</w:t>
      </w:r>
    </w:p>
    <w:p>
      <w:pPr>
        <w:widowControl w:val="0"/>
        <w:numPr>
          <w:ilvl w:val="0"/>
          <w:numId w:val="23"/>
        </w:numPr>
        <w:tabs>
          <w:tab w:val="left" w:pos="540"/>
        </w:tabs>
        <w:spacing w:line="360" w:lineRule="auto"/>
        <w:ind w:left="0" w:leftChars="0" w:firstLine="420" w:firstLineChars="0"/>
        <w:rPr>
          <w:rFonts w:ascii="宋体" w:hAnsi="宋体"/>
          <w:color w:val="auto"/>
          <w:szCs w:val="21"/>
        </w:rPr>
      </w:pPr>
      <w:r>
        <w:rPr>
          <w:rFonts w:hint="eastAsia" w:ascii="宋体" w:hAnsi="宋体"/>
          <w:color w:val="auto"/>
          <w:szCs w:val="21"/>
        </w:rPr>
        <w:t>《信用中国》网站的信用报告</w:t>
      </w:r>
      <w:r>
        <w:rPr>
          <w:rFonts w:hint="eastAsia" w:ascii="宋体" w:hAnsi="宋体"/>
          <w:color w:val="auto"/>
          <w:szCs w:val="21"/>
          <w:lang w:eastAsia="zh-CN"/>
        </w:rPr>
        <w:t>、</w:t>
      </w:r>
      <w:r>
        <w:rPr>
          <w:rFonts w:hint="eastAsia" w:ascii="宋体" w:hAnsi="宋体" w:eastAsia="宋体" w:cs="宋体"/>
          <w:color w:val="auto"/>
          <w:kern w:val="2"/>
          <w:sz w:val="24"/>
          <w:szCs w:val="24"/>
          <w:lang w:val="en-US" w:eastAsia="zh-CN" w:bidi="ar-SA"/>
        </w:rPr>
        <w:t>国家企业信用信息公示系统网站截图</w:t>
      </w:r>
    </w:p>
    <w:p>
      <w:pPr>
        <w:pStyle w:val="6"/>
        <w:rPr>
          <w:color w:val="auto"/>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spacing w:line="360" w:lineRule="auto"/>
        <w:ind w:firstLine="480" w:firstLineChars="200"/>
        <w:rPr>
          <w:rFonts w:ascii="宋体" w:hAnsi="宋体"/>
          <w:color w:val="auto"/>
          <w:szCs w:val="21"/>
        </w:rPr>
      </w:pPr>
    </w:p>
    <w:p>
      <w:pPr>
        <w:widowControl w:val="0"/>
        <w:tabs>
          <w:tab w:val="left" w:pos="540"/>
        </w:tabs>
        <w:spacing w:line="360" w:lineRule="auto"/>
        <w:ind w:firstLine="480" w:firstLineChars="200"/>
        <w:rPr>
          <w:rFonts w:ascii="宋体" w:hAnsi="宋体"/>
          <w:color w:val="auto"/>
          <w:szCs w:val="21"/>
        </w:rPr>
      </w:pPr>
    </w:p>
    <w:p>
      <w:pPr>
        <w:spacing w:line="360" w:lineRule="auto"/>
        <w:jc w:val="both"/>
        <w:rPr>
          <w:rFonts w:hint="eastAsia" w:ascii="宋体" w:hAnsi="宋体"/>
          <w:color w:val="auto"/>
          <w:szCs w:val="21"/>
          <w:lang w:eastAsia="zh-CN"/>
        </w:rPr>
        <w:sectPr>
          <w:pgSz w:w="11906" w:h="16838"/>
          <w:pgMar w:top="1418" w:right="1134" w:bottom="1418" w:left="1418" w:header="851" w:footer="992" w:gutter="0"/>
          <w:cols w:space="720" w:num="1"/>
          <w:docGrid w:linePitch="312" w:charSpace="0"/>
        </w:sectPr>
      </w:pPr>
    </w:p>
    <w:p>
      <w:pPr>
        <w:kinsoku/>
        <w:wordWrap/>
        <w:overflowPunct/>
        <w:topLinePunct w:val="0"/>
        <w:bidi w:val="0"/>
        <w:spacing w:line="360" w:lineRule="auto"/>
        <w:ind w:right="560"/>
        <w:jc w:val="right"/>
        <w:textAlignment w:val="auto"/>
        <w:rPr>
          <w:rFonts w:hint="eastAsia" w:ascii="宋体" w:hAnsi="宋体"/>
          <w:color w:val="auto"/>
          <w:szCs w:val="21"/>
        </w:rPr>
      </w:pPr>
      <w:r>
        <w:rPr>
          <w:rFonts w:hint="eastAsia" w:ascii="宋体" w:hAnsi="宋体"/>
          <w:color w:val="auto"/>
          <w:szCs w:val="21"/>
        </w:rPr>
        <w:t>正（副）本</w:t>
      </w:r>
    </w:p>
    <w:p>
      <w:pPr>
        <w:kinsoku/>
        <w:wordWrap/>
        <w:overflowPunct/>
        <w:topLinePunct w:val="0"/>
        <w:bidi w:val="0"/>
        <w:spacing w:line="360" w:lineRule="auto"/>
        <w:jc w:val="right"/>
        <w:textAlignment w:val="auto"/>
        <w:rPr>
          <w:rFonts w:hint="eastAsia" w:ascii="宋体" w:hAnsi="宋体"/>
          <w:color w:val="auto"/>
          <w:szCs w:val="21"/>
        </w:rPr>
      </w:pPr>
    </w:p>
    <w:p>
      <w:pPr>
        <w:kinsoku/>
        <w:wordWrap/>
        <w:overflowPunct/>
        <w:topLinePunct w:val="0"/>
        <w:bidi w:val="0"/>
        <w:spacing w:line="360" w:lineRule="auto"/>
        <w:ind w:firstLine="480" w:firstLineChars="200"/>
        <w:jc w:val="right"/>
        <w:textAlignment w:val="auto"/>
        <w:rPr>
          <w:rFonts w:hint="eastAsia" w:ascii="宋体" w:hAnsi="宋体"/>
          <w:color w:val="auto"/>
          <w:szCs w:val="21"/>
        </w:rPr>
      </w:pPr>
    </w:p>
    <w:p>
      <w:pPr>
        <w:kinsoku/>
        <w:wordWrap/>
        <w:overflowPunct/>
        <w:topLinePunct w:val="0"/>
        <w:bidi w:val="0"/>
        <w:spacing w:line="360" w:lineRule="auto"/>
        <w:ind w:left="1920" w:leftChars="800" w:firstLine="0" w:firstLineChars="0"/>
        <w:textAlignment w:val="auto"/>
        <w:rPr>
          <w:rFonts w:ascii="宋体" w:hAnsi="宋体"/>
          <w:b/>
          <w:color w:val="auto"/>
          <w:sz w:val="32"/>
          <w:szCs w:val="32"/>
        </w:rPr>
      </w:pPr>
      <w:r>
        <w:rPr>
          <w:rFonts w:hint="eastAsia" w:ascii="宋体" w:hAnsi="宋体"/>
          <w:b/>
          <w:color w:val="auto"/>
          <w:sz w:val="32"/>
          <w:szCs w:val="32"/>
          <w:u w:val="single"/>
        </w:rPr>
        <w:t xml:space="preserve">  </w:t>
      </w:r>
      <w:r>
        <w:rPr>
          <w:rFonts w:hint="eastAsia" w:ascii="宋体" w:hAnsi="宋体"/>
          <w:b/>
          <w:color w:val="auto"/>
          <w:sz w:val="32"/>
          <w:szCs w:val="32"/>
          <w:u w:val="single"/>
          <w:lang w:val="en-US" w:eastAsia="zh-CN"/>
        </w:rPr>
        <w:t xml:space="preserve">                  </w:t>
      </w:r>
      <w:r>
        <w:rPr>
          <w:rFonts w:hint="eastAsia" w:ascii="宋体" w:hAnsi="宋体"/>
          <w:b/>
          <w:color w:val="auto"/>
          <w:sz w:val="32"/>
          <w:szCs w:val="32"/>
          <w:u w:val="single"/>
        </w:rPr>
        <w:t xml:space="preserve">   </w:t>
      </w:r>
      <w:r>
        <w:rPr>
          <w:rFonts w:hint="eastAsia" w:ascii="宋体" w:hAnsi="宋体"/>
          <w:b/>
          <w:color w:val="auto"/>
          <w:sz w:val="32"/>
          <w:szCs w:val="32"/>
        </w:rPr>
        <w:t>（项目名称）</w:t>
      </w:r>
    </w:p>
    <w:p>
      <w:pPr>
        <w:kinsoku/>
        <w:wordWrap/>
        <w:overflowPunct/>
        <w:topLinePunct w:val="0"/>
        <w:bidi w:val="0"/>
        <w:spacing w:line="360" w:lineRule="auto"/>
        <w:ind w:firstLine="480" w:firstLineChars="200"/>
        <w:textAlignment w:val="auto"/>
        <w:rPr>
          <w:rFonts w:ascii="宋体" w:hAnsi="宋体"/>
          <w:color w:val="auto"/>
          <w:szCs w:val="21"/>
        </w:rPr>
      </w:pPr>
    </w:p>
    <w:p>
      <w:pPr>
        <w:kinsoku/>
        <w:wordWrap/>
        <w:overflowPunct/>
        <w:topLinePunct w:val="0"/>
        <w:bidi w:val="0"/>
        <w:spacing w:line="360" w:lineRule="auto"/>
        <w:ind w:firstLine="480" w:firstLineChars="200"/>
        <w:textAlignment w:val="auto"/>
        <w:rPr>
          <w:rFonts w:ascii="宋体" w:hAnsi="宋体"/>
          <w:color w:val="auto"/>
          <w:szCs w:val="21"/>
        </w:rPr>
      </w:pPr>
    </w:p>
    <w:p>
      <w:pPr>
        <w:kinsoku/>
        <w:wordWrap/>
        <w:overflowPunct/>
        <w:topLinePunct w:val="0"/>
        <w:bidi w:val="0"/>
        <w:spacing w:line="360" w:lineRule="auto"/>
        <w:ind w:left="0" w:leftChars="0" w:firstLine="0" w:firstLineChars="0"/>
        <w:jc w:val="center"/>
        <w:textAlignment w:val="auto"/>
        <w:rPr>
          <w:rFonts w:ascii="宋体" w:hAnsi="宋体"/>
          <w:color w:val="auto"/>
          <w:sz w:val="72"/>
          <w:szCs w:val="72"/>
        </w:rPr>
      </w:pPr>
      <w:r>
        <w:rPr>
          <w:rFonts w:hint="eastAsia" w:ascii="宋体" w:hAnsi="宋体"/>
          <w:color w:val="auto"/>
          <w:sz w:val="72"/>
          <w:szCs w:val="72"/>
        </w:rPr>
        <w:t>投 标 文 件</w:t>
      </w:r>
    </w:p>
    <w:p>
      <w:pPr>
        <w:kinsoku/>
        <w:wordWrap/>
        <w:overflowPunct/>
        <w:topLinePunct w:val="0"/>
        <w:bidi w:val="0"/>
        <w:spacing w:line="360" w:lineRule="auto"/>
        <w:ind w:firstLine="480" w:firstLineChars="200"/>
        <w:textAlignment w:val="auto"/>
        <w:rPr>
          <w:rFonts w:hint="eastAsia" w:ascii="宋体" w:hAnsi="宋体"/>
          <w:color w:val="auto"/>
          <w:szCs w:val="21"/>
        </w:rPr>
      </w:pPr>
    </w:p>
    <w:p>
      <w:pPr>
        <w:kinsoku/>
        <w:wordWrap/>
        <w:overflowPunct/>
        <w:topLinePunct w:val="0"/>
        <w:bidi w:val="0"/>
        <w:spacing w:line="360" w:lineRule="auto"/>
        <w:jc w:val="center"/>
        <w:textAlignment w:val="auto"/>
        <w:outlineLvl w:val="0"/>
        <w:rPr>
          <w:rFonts w:hint="eastAsia" w:ascii="宋体" w:hAnsi="宋体"/>
          <w:color w:val="auto"/>
          <w:sz w:val="48"/>
          <w:szCs w:val="48"/>
        </w:rPr>
      </w:pPr>
      <w:bookmarkStart w:id="46" w:name="_Toc18270"/>
      <w:r>
        <w:rPr>
          <w:rFonts w:hint="eastAsia" w:ascii="宋体" w:hAnsi="宋体"/>
          <w:color w:val="auto"/>
          <w:sz w:val="48"/>
          <w:szCs w:val="48"/>
        </w:rPr>
        <w:t>经济标</w:t>
      </w:r>
      <w:bookmarkEnd w:id="46"/>
    </w:p>
    <w:p>
      <w:pPr>
        <w:kinsoku/>
        <w:wordWrap/>
        <w:overflowPunct/>
        <w:topLinePunct w:val="0"/>
        <w:bidi w:val="0"/>
        <w:spacing w:line="360" w:lineRule="auto"/>
        <w:ind w:firstLine="480" w:firstLineChars="200"/>
        <w:textAlignment w:val="auto"/>
        <w:rPr>
          <w:rFonts w:hint="eastAsia" w:ascii="宋体" w:hAnsi="宋体"/>
          <w:color w:val="auto"/>
          <w:szCs w:val="21"/>
        </w:rPr>
      </w:pPr>
    </w:p>
    <w:p>
      <w:pPr>
        <w:kinsoku/>
        <w:wordWrap/>
        <w:overflowPunct/>
        <w:topLinePunct w:val="0"/>
        <w:bidi w:val="0"/>
        <w:spacing w:line="360" w:lineRule="auto"/>
        <w:textAlignment w:val="auto"/>
        <w:rPr>
          <w:rFonts w:hint="eastAsia" w:ascii="宋体" w:hAnsi="宋体"/>
          <w:color w:val="auto"/>
          <w:szCs w:val="21"/>
        </w:rPr>
      </w:pPr>
    </w:p>
    <w:p>
      <w:pPr>
        <w:kinsoku/>
        <w:wordWrap/>
        <w:overflowPunct/>
        <w:topLinePunct w:val="0"/>
        <w:bidi w:val="0"/>
        <w:spacing w:line="360" w:lineRule="auto"/>
        <w:textAlignment w:val="auto"/>
        <w:rPr>
          <w:rFonts w:hint="eastAsia" w:ascii="宋体" w:hAnsi="宋体"/>
          <w:color w:val="auto"/>
          <w:szCs w:val="21"/>
        </w:rPr>
      </w:pPr>
    </w:p>
    <w:p>
      <w:pPr>
        <w:kinsoku/>
        <w:wordWrap/>
        <w:overflowPunct/>
        <w:topLinePunct w:val="0"/>
        <w:bidi w:val="0"/>
        <w:spacing w:line="360" w:lineRule="auto"/>
        <w:ind w:firstLine="480" w:firstLineChars="200"/>
        <w:textAlignment w:val="auto"/>
        <w:rPr>
          <w:rFonts w:hint="eastAsia" w:ascii="宋体" w:hAnsi="宋体"/>
          <w:color w:val="auto"/>
          <w:szCs w:val="21"/>
        </w:rPr>
      </w:pPr>
    </w:p>
    <w:p>
      <w:pPr>
        <w:kinsoku/>
        <w:wordWrap/>
        <w:overflowPunct/>
        <w:topLinePunct w:val="0"/>
        <w:bidi w:val="0"/>
        <w:spacing w:line="360" w:lineRule="auto"/>
        <w:ind w:firstLine="480" w:firstLineChars="200"/>
        <w:textAlignment w:val="auto"/>
        <w:rPr>
          <w:rFonts w:hint="eastAsia" w:ascii="宋体" w:hAnsi="宋体"/>
          <w:color w:val="auto"/>
          <w:szCs w:val="21"/>
        </w:rPr>
      </w:pPr>
    </w:p>
    <w:p>
      <w:pPr>
        <w:kinsoku/>
        <w:wordWrap/>
        <w:overflowPunct/>
        <w:topLinePunct w:val="0"/>
        <w:bidi w:val="0"/>
        <w:spacing w:line="360" w:lineRule="auto"/>
        <w:jc w:val="center"/>
        <w:textAlignment w:val="auto"/>
        <w:rPr>
          <w:rFonts w:hint="eastAsia" w:ascii="宋体" w:hAnsi="宋体"/>
          <w:color w:val="auto"/>
          <w:sz w:val="28"/>
          <w:szCs w:val="28"/>
        </w:rPr>
      </w:pPr>
      <w:r>
        <w:rPr>
          <w:rFonts w:hint="eastAsia" w:ascii="宋体" w:hAnsi="宋体"/>
          <w:color w:val="auto"/>
          <w:sz w:val="28"/>
          <w:szCs w:val="28"/>
        </w:rPr>
        <w:t>投标人：</w:t>
      </w:r>
      <w:r>
        <w:rPr>
          <w:rFonts w:hint="eastAsia" w:ascii="宋体" w:hAnsi="宋体"/>
          <w:color w:val="auto"/>
          <w:sz w:val="28"/>
          <w:szCs w:val="28"/>
          <w:u w:val="single"/>
        </w:rPr>
        <w:t xml:space="preserve">                       </w:t>
      </w:r>
      <w:r>
        <w:rPr>
          <w:rFonts w:hint="eastAsia" w:ascii="宋体" w:hAnsi="宋体"/>
          <w:color w:val="auto"/>
          <w:sz w:val="28"/>
          <w:szCs w:val="28"/>
        </w:rPr>
        <w:t>（盖单位章）</w:t>
      </w:r>
    </w:p>
    <w:p>
      <w:pPr>
        <w:kinsoku/>
        <w:wordWrap/>
        <w:overflowPunct/>
        <w:topLinePunct w:val="0"/>
        <w:bidi w:val="0"/>
        <w:spacing w:line="360" w:lineRule="auto"/>
        <w:jc w:val="center"/>
        <w:textAlignment w:val="auto"/>
        <w:rPr>
          <w:rFonts w:hint="eastAsia" w:ascii="宋体" w:hAnsi="宋体"/>
          <w:color w:val="auto"/>
          <w:sz w:val="28"/>
          <w:szCs w:val="28"/>
        </w:rPr>
      </w:pPr>
    </w:p>
    <w:p>
      <w:pPr>
        <w:kinsoku/>
        <w:wordWrap/>
        <w:overflowPunct/>
        <w:topLinePunct w:val="0"/>
        <w:bidi w:val="0"/>
        <w:spacing w:line="360" w:lineRule="auto"/>
        <w:ind w:firstLine="1820" w:firstLineChars="650"/>
        <w:textAlignment w:val="auto"/>
        <w:rPr>
          <w:rFonts w:hint="eastAsia" w:ascii="宋体" w:hAnsi="宋体"/>
          <w:color w:val="auto"/>
          <w:sz w:val="28"/>
          <w:szCs w:val="28"/>
        </w:rPr>
      </w:pPr>
      <w:r>
        <w:rPr>
          <w:rFonts w:hint="eastAsia" w:ascii="宋体" w:hAnsi="宋体"/>
          <w:color w:val="auto"/>
          <w:sz w:val="28"/>
          <w:szCs w:val="28"/>
        </w:rPr>
        <w:t>法定代表人或</w:t>
      </w:r>
      <w:r>
        <w:rPr>
          <w:rFonts w:hint="eastAsia" w:ascii="宋体" w:hAnsi="宋体"/>
          <w:color w:val="auto"/>
          <w:sz w:val="28"/>
          <w:szCs w:val="28"/>
          <w:lang w:eastAsia="zh-CN"/>
        </w:rPr>
        <w:t>授权代表</w:t>
      </w:r>
      <w:r>
        <w:rPr>
          <w:rFonts w:hint="eastAsia" w:ascii="宋体" w:hAnsi="宋体"/>
          <w:color w:val="auto"/>
          <w:sz w:val="28"/>
          <w:szCs w:val="28"/>
        </w:rPr>
        <w:t>：</w:t>
      </w:r>
      <w:r>
        <w:rPr>
          <w:rFonts w:hint="eastAsia" w:ascii="宋体" w:hAnsi="宋体"/>
          <w:color w:val="auto"/>
          <w:sz w:val="28"/>
          <w:szCs w:val="28"/>
          <w:u w:val="single"/>
        </w:rPr>
        <w:t xml:space="preserve">            </w:t>
      </w:r>
      <w:r>
        <w:rPr>
          <w:rFonts w:hint="eastAsia" w:ascii="宋体" w:hAnsi="宋体"/>
          <w:color w:val="auto"/>
          <w:sz w:val="28"/>
          <w:szCs w:val="28"/>
        </w:rPr>
        <w:t>（签字）</w:t>
      </w:r>
    </w:p>
    <w:p>
      <w:pPr>
        <w:kinsoku/>
        <w:wordWrap/>
        <w:overflowPunct/>
        <w:topLinePunct w:val="0"/>
        <w:bidi w:val="0"/>
        <w:spacing w:line="360" w:lineRule="auto"/>
        <w:ind w:firstLine="1960" w:firstLineChars="700"/>
        <w:textAlignment w:val="auto"/>
        <w:rPr>
          <w:rFonts w:hint="eastAsia" w:ascii="宋体" w:hAnsi="宋体"/>
          <w:color w:val="auto"/>
          <w:sz w:val="28"/>
          <w:szCs w:val="28"/>
        </w:rPr>
      </w:pPr>
    </w:p>
    <w:p>
      <w:pPr>
        <w:kinsoku/>
        <w:wordWrap/>
        <w:overflowPunct/>
        <w:topLinePunct w:val="0"/>
        <w:bidi w:val="0"/>
        <w:spacing w:line="360" w:lineRule="auto"/>
        <w:jc w:val="center"/>
        <w:textAlignment w:val="auto"/>
        <w:rPr>
          <w:rFonts w:hint="eastAsia" w:ascii="宋体" w:hAnsi="宋体"/>
          <w:color w:val="auto"/>
          <w:szCs w:val="21"/>
          <w:u w:val="single"/>
        </w:rPr>
      </w:pPr>
    </w:p>
    <w:p>
      <w:pPr>
        <w:kinsoku/>
        <w:wordWrap/>
        <w:overflowPunct/>
        <w:topLinePunct w:val="0"/>
        <w:bidi w:val="0"/>
        <w:spacing w:line="360" w:lineRule="auto"/>
        <w:jc w:val="center"/>
        <w:textAlignment w:val="auto"/>
        <w:rPr>
          <w:rFonts w:hint="eastAsia" w:ascii="宋体" w:hAnsi="宋体"/>
          <w:color w:val="auto"/>
          <w:sz w:val="28"/>
          <w:szCs w:val="28"/>
        </w:rPr>
      </w:pPr>
      <w:r>
        <w:rPr>
          <w:rFonts w:hint="eastAsia" w:ascii="宋体" w:hAnsi="宋体"/>
          <w:color w:val="auto"/>
          <w:szCs w:val="21"/>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kinsoku/>
        <w:wordWrap/>
        <w:overflowPunct/>
        <w:topLinePunct w:val="0"/>
        <w:bidi w:val="0"/>
        <w:spacing w:line="360" w:lineRule="auto"/>
        <w:jc w:val="left"/>
        <w:textAlignment w:val="auto"/>
        <w:rPr>
          <w:rFonts w:hint="eastAsia" w:ascii="宋体" w:hAnsi="宋体"/>
          <w:color w:val="auto"/>
          <w:szCs w:val="21"/>
        </w:rPr>
      </w:pPr>
    </w:p>
    <w:p>
      <w:pPr>
        <w:kinsoku/>
        <w:wordWrap/>
        <w:overflowPunct/>
        <w:topLinePunct w:val="0"/>
        <w:bidi w:val="0"/>
        <w:spacing w:line="360" w:lineRule="auto"/>
        <w:ind w:left="240" w:leftChars="100" w:firstLine="0" w:firstLineChars="0"/>
        <w:textAlignment w:val="auto"/>
        <w:rPr>
          <w:rFonts w:hint="eastAsia" w:ascii="宋体" w:hAnsi="宋体"/>
          <w:color w:val="auto"/>
          <w:sz w:val="21"/>
          <w:szCs w:val="18"/>
        </w:rPr>
        <w:sectPr>
          <w:pgSz w:w="11906" w:h="16838"/>
          <w:pgMar w:top="1418" w:right="1368" w:bottom="1418" w:left="938" w:header="851" w:footer="992" w:gutter="0"/>
          <w:pgNumType w:fmt="numberInDash"/>
          <w:cols w:space="720" w:num="1"/>
          <w:docGrid w:linePitch="312" w:charSpace="0"/>
        </w:sectPr>
      </w:pPr>
      <w:r>
        <w:rPr>
          <w:rFonts w:hint="eastAsia" w:ascii="宋体" w:hAnsi="宋体"/>
          <w:color w:val="auto"/>
          <w:sz w:val="21"/>
          <w:szCs w:val="18"/>
          <w:lang w:eastAsia="zh-CN"/>
        </w:rPr>
        <w:t>（</w:t>
      </w:r>
      <w:r>
        <w:rPr>
          <w:rFonts w:hint="eastAsia" w:ascii="宋体" w:hAnsi="宋体"/>
          <w:color w:val="auto"/>
          <w:sz w:val="21"/>
          <w:szCs w:val="18"/>
        </w:rPr>
        <w:t>说明：本封面仅供参考，格式由投标人自定，但必须包括工程名称、“正本”或“副本”字样（电子标书免）， “经济标”字样、投标人名称、投标人单位公章、投标人法定代表人或其委托的</w:t>
      </w:r>
      <w:r>
        <w:rPr>
          <w:rFonts w:hint="eastAsia" w:ascii="宋体" w:hAnsi="宋体"/>
          <w:color w:val="auto"/>
          <w:sz w:val="21"/>
          <w:szCs w:val="18"/>
          <w:lang w:eastAsia="zh-CN"/>
        </w:rPr>
        <w:t>授权代表</w:t>
      </w:r>
      <w:r>
        <w:rPr>
          <w:rFonts w:hint="eastAsia" w:ascii="宋体" w:hAnsi="宋体"/>
          <w:color w:val="auto"/>
          <w:sz w:val="21"/>
          <w:szCs w:val="18"/>
        </w:rPr>
        <w:t>签字、编制人签字及盖专用章。</w:t>
      </w:r>
      <w:r>
        <w:rPr>
          <w:rFonts w:hint="eastAsia" w:ascii="宋体" w:hAnsi="宋体"/>
          <w:color w:val="auto"/>
          <w:sz w:val="21"/>
          <w:szCs w:val="18"/>
          <w:lang w:eastAsia="zh-CN"/>
        </w:rPr>
        <w:t>）</w:t>
      </w:r>
    </w:p>
    <w:p>
      <w:pPr>
        <w:kinsoku/>
        <w:wordWrap/>
        <w:overflowPunct/>
        <w:topLinePunct w:val="0"/>
        <w:bidi w:val="0"/>
        <w:spacing w:line="360" w:lineRule="auto"/>
        <w:jc w:val="center"/>
        <w:textAlignment w:val="auto"/>
        <w:rPr>
          <w:color w:val="auto"/>
          <w:sz w:val="28"/>
          <w:szCs w:val="28"/>
        </w:rPr>
      </w:pPr>
      <w:r>
        <w:rPr>
          <w:rFonts w:hint="eastAsia"/>
          <w:color w:val="auto"/>
          <w:sz w:val="28"/>
          <w:szCs w:val="28"/>
        </w:rPr>
        <w:t>目  录</w:t>
      </w:r>
    </w:p>
    <w:p>
      <w:pPr>
        <w:kinsoku/>
        <w:wordWrap/>
        <w:overflowPunct/>
        <w:topLinePunct w:val="0"/>
        <w:bidi w:val="0"/>
        <w:spacing w:line="360" w:lineRule="auto"/>
        <w:textAlignment w:val="auto"/>
        <w:rPr>
          <w:rFonts w:hint="eastAsia" w:ascii="宋体" w:hAnsi="宋体"/>
          <w:color w:val="auto"/>
          <w:szCs w:val="21"/>
        </w:rPr>
      </w:pPr>
    </w:p>
    <w:p>
      <w:pPr>
        <w:kinsoku/>
        <w:wordWrap/>
        <w:overflowPunct/>
        <w:topLinePunct w:val="0"/>
        <w:bidi w:val="0"/>
        <w:spacing w:line="360" w:lineRule="auto"/>
        <w:textAlignment w:val="auto"/>
        <w:rPr>
          <w:rFonts w:hint="eastAsia"/>
          <w:color w:val="auto"/>
        </w:rPr>
      </w:pPr>
      <w:r>
        <w:rPr>
          <w:rFonts w:hint="eastAsia"/>
          <w:color w:val="auto"/>
        </w:rPr>
        <w:t>一、投标报价汇总表（其中的</w:t>
      </w:r>
      <w:r>
        <w:rPr>
          <w:rFonts w:hint="eastAsia" w:ascii="宋体" w:hAnsi="宋体"/>
          <w:color w:val="auto"/>
          <w:szCs w:val="21"/>
        </w:rPr>
        <w:t>绿色施工安全防护措施费须在此表中单列）</w:t>
      </w:r>
    </w:p>
    <w:p>
      <w:pPr>
        <w:kinsoku/>
        <w:wordWrap/>
        <w:overflowPunct/>
        <w:topLinePunct w:val="0"/>
        <w:bidi w:val="0"/>
        <w:spacing w:line="360" w:lineRule="auto"/>
        <w:textAlignment w:val="auto"/>
        <w:rPr>
          <w:rFonts w:hint="eastAsia"/>
          <w:color w:val="auto"/>
        </w:rPr>
      </w:pPr>
    </w:p>
    <w:p>
      <w:pPr>
        <w:kinsoku/>
        <w:wordWrap/>
        <w:overflowPunct/>
        <w:topLinePunct w:val="0"/>
        <w:bidi w:val="0"/>
        <w:spacing w:line="360" w:lineRule="auto"/>
        <w:textAlignment w:val="auto"/>
        <w:rPr>
          <w:rFonts w:hint="eastAsia"/>
          <w:color w:val="auto"/>
        </w:rPr>
      </w:pPr>
      <w:r>
        <w:rPr>
          <w:rFonts w:hint="eastAsia"/>
          <w:color w:val="auto"/>
        </w:rPr>
        <w:t>二、已标价工程量清单</w:t>
      </w:r>
    </w:p>
    <w:p>
      <w:pPr>
        <w:pStyle w:val="6"/>
        <w:rPr>
          <w:rFonts w:hint="eastAsia"/>
          <w:color w:val="auto"/>
          <w:lang w:eastAsia="zh-CN"/>
        </w:rPr>
        <w:sectPr>
          <w:pgSz w:w="11906" w:h="16838"/>
          <w:pgMar w:top="1418" w:right="1134" w:bottom="1418" w:left="1418" w:header="851" w:footer="992" w:gutter="0"/>
          <w:cols w:space="720" w:num="1"/>
          <w:docGrid w:linePitch="312" w:charSpace="0"/>
        </w:sectPr>
      </w:pPr>
    </w:p>
    <w:p>
      <w:pPr>
        <w:rPr>
          <w:rFonts w:hint="eastAsia"/>
          <w:color w:val="auto"/>
          <w:lang w:eastAsia="zh-CN"/>
        </w:rPr>
      </w:pPr>
    </w:p>
    <w:p>
      <w:pPr>
        <w:numPr>
          <w:ilvl w:val="0"/>
          <w:numId w:val="24"/>
        </w:numPr>
        <w:spacing w:line="360" w:lineRule="auto"/>
        <w:ind w:left="0" w:leftChars="0" w:firstLine="0" w:firstLineChars="0"/>
        <w:jc w:val="center"/>
        <w:rPr>
          <w:rFonts w:ascii="宋体" w:hAnsi="宋体"/>
          <w:b/>
          <w:color w:val="auto"/>
        </w:rPr>
      </w:pPr>
      <w:r>
        <w:rPr>
          <w:rFonts w:hint="eastAsia" w:ascii="宋体" w:hAnsi="宋体"/>
          <w:b/>
          <w:color w:val="auto"/>
        </w:rPr>
        <w:t>投标报价汇总表</w:t>
      </w:r>
    </w:p>
    <w:p>
      <w:pPr>
        <w:spacing w:line="360" w:lineRule="auto"/>
        <w:jc w:val="center"/>
        <w:rPr>
          <w:rFonts w:ascii="宋体" w:hAnsi="宋体"/>
          <w:color w:val="auto"/>
        </w:rPr>
      </w:pPr>
      <w:r>
        <w:rPr>
          <w:rFonts w:hint="eastAsia" w:ascii="宋体" w:hAnsi="宋体"/>
          <w:color w:val="auto"/>
        </w:rPr>
        <w:t>（其中的</w:t>
      </w:r>
      <w:r>
        <w:rPr>
          <w:rFonts w:hint="eastAsia" w:ascii="宋体" w:hAnsi="宋体"/>
          <w:color w:val="auto"/>
          <w:szCs w:val="21"/>
        </w:rPr>
        <w:t>绿色施工安全防护措施费须在此表中单列）</w:t>
      </w:r>
    </w:p>
    <w:p>
      <w:pPr>
        <w:snapToGrid w:val="0"/>
        <w:spacing w:line="360" w:lineRule="auto"/>
        <w:jc w:val="center"/>
        <w:rPr>
          <w:rFonts w:ascii="宋体" w:hAnsi="宋体"/>
          <w:b/>
          <w:color w:val="auto"/>
          <w:sz w:val="30"/>
          <w:szCs w:val="30"/>
        </w:rPr>
      </w:pPr>
      <w:r>
        <w:rPr>
          <w:rFonts w:hint="eastAsia" w:ascii="宋体" w:hAnsi="宋体"/>
          <w:b/>
          <w:color w:val="auto"/>
          <w:sz w:val="30"/>
          <w:szCs w:val="30"/>
        </w:rPr>
        <w:t>投标报价汇总表</w:t>
      </w:r>
    </w:p>
    <w:p>
      <w:pPr>
        <w:snapToGrid w:val="0"/>
        <w:spacing w:line="360" w:lineRule="auto"/>
        <w:jc w:val="center"/>
        <w:rPr>
          <w:rFonts w:ascii="宋体" w:hAnsi="宋体"/>
          <w:color w:val="auto"/>
          <w:sz w:val="28"/>
          <w:szCs w:val="28"/>
        </w:rPr>
      </w:pPr>
      <w:r>
        <w:rPr>
          <w:rFonts w:hint="eastAsia" w:ascii="宋体" w:hAnsi="宋体"/>
          <w:color w:val="auto"/>
          <w:sz w:val="28"/>
          <w:szCs w:val="28"/>
        </w:rPr>
        <w:t>（适用于纸质标书）</w:t>
      </w:r>
    </w:p>
    <w:p>
      <w:pPr>
        <w:snapToGrid w:val="0"/>
        <w:spacing w:line="360" w:lineRule="auto"/>
        <w:ind w:firstLine="28"/>
        <w:rPr>
          <w:rFonts w:ascii="宋体" w:hAnsi="宋体"/>
          <w:color w:val="auto"/>
          <w:szCs w:val="21"/>
        </w:rPr>
      </w:pPr>
      <w:r>
        <w:rPr>
          <w:rFonts w:hint="eastAsia" w:ascii="宋体" w:hAnsi="宋体"/>
          <w:color w:val="auto"/>
          <w:szCs w:val="21"/>
        </w:rPr>
        <w:t>招标人（建设单位）</w:t>
      </w:r>
      <w:r>
        <w:rPr>
          <w:rFonts w:hint="eastAsia" w:ascii="宋体" w:hAnsi="宋体"/>
          <w:color w:val="auto"/>
          <w:szCs w:val="21"/>
          <w:u w:val="single"/>
        </w:rPr>
        <w:t xml:space="preserve">：                        </w:t>
      </w:r>
      <w:r>
        <w:rPr>
          <w:rFonts w:hint="eastAsia" w:ascii="宋体" w:hAnsi="宋体"/>
          <w:color w:val="auto"/>
          <w:szCs w:val="21"/>
        </w:rPr>
        <w:t xml:space="preserve">  </w:t>
      </w:r>
    </w:p>
    <w:p>
      <w:pPr>
        <w:snapToGrid w:val="0"/>
        <w:spacing w:line="360" w:lineRule="auto"/>
        <w:ind w:left="1200" w:hanging="1200" w:hangingChars="500"/>
        <w:rPr>
          <w:rFonts w:ascii="宋体" w:hAnsi="宋体"/>
          <w:color w:val="auto"/>
          <w:szCs w:val="21"/>
          <w:u w:val="single"/>
        </w:rPr>
      </w:pPr>
      <w:r>
        <w:rPr>
          <w:rFonts w:hint="eastAsia" w:ascii="宋体" w:hAnsi="宋体"/>
          <w:color w:val="auto"/>
          <w:szCs w:val="21"/>
        </w:rPr>
        <w:t>项目名称</w:t>
      </w:r>
      <w:r>
        <w:rPr>
          <w:rFonts w:hint="eastAsia" w:ascii="宋体" w:hAnsi="宋体"/>
          <w:color w:val="auto"/>
          <w:szCs w:val="21"/>
          <w:u w:val="single"/>
        </w:rPr>
        <w:t xml:space="preserve">：                                     </w:t>
      </w:r>
    </w:p>
    <w:p>
      <w:pPr>
        <w:snapToGrid w:val="0"/>
        <w:spacing w:line="360" w:lineRule="auto"/>
        <w:rPr>
          <w:rFonts w:ascii="宋体" w:hAnsi="宋体"/>
          <w:color w:val="auto"/>
          <w:szCs w:val="21"/>
          <w:lang w:val="en-GB"/>
        </w:rPr>
      </w:pPr>
      <w:r>
        <w:rPr>
          <w:rFonts w:hint="eastAsia" w:ascii="宋体" w:hAnsi="宋体"/>
          <w:color w:val="auto"/>
          <w:szCs w:val="21"/>
        </w:rPr>
        <w:t>投标总价（含税价）：（小写）人民币</w:t>
      </w:r>
      <w:r>
        <w:rPr>
          <w:rFonts w:hint="eastAsia" w:ascii="宋体" w:hAnsi="宋体"/>
          <w:color w:val="auto"/>
          <w:szCs w:val="21"/>
          <w:u w:val="single"/>
        </w:rPr>
        <w:t xml:space="preserve">                             </w:t>
      </w:r>
      <w:r>
        <w:rPr>
          <w:rFonts w:hint="eastAsia" w:ascii="宋体" w:hAnsi="宋体"/>
          <w:color w:val="auto"/>
          <w:szCs w:val="21"/>
        </w:rPr>
        <w:t>元</w:t>
      </w:r>
    </w:p>
    <w:p>
      <w:pPr>
        <w:snapToGrid w:val="0"/>
        <w:spacing w:line="360" w:lineRule="auto"/>
        <w:rPr>
          <w:rFonts w:ascii="宋体" w:hAnsi="宋体"/>
          <w:color w:val="auto"/>
          <w:szCs w:val="21"/>
        </w:rPr>
      </w:pPr>
      <w:r>
        <w:rPr>
          <w:rFonts w:hint="eastAsia" w:ascii="宋体" w:hAnsi="宋体"/>
          <w:color w:val="auto"/>
          <w:szCs w:val="21"/>
        </w:rPr>
        <w:t xml:space="preserve">                  （大写）人民币</w:t>
      </w:r>
      <w:r>
        <w:rPr>
          <w:rFonts w:hint="eastAsia" w:ascii="宋体" w:hAnsi="宋体"/>
          <w:color w:val="auto"/>
          <w:szCs w:val="21"/>
          <w:u w:val="single"/>
        </w:rPr>
        <w:t xml:space="preserve">                             </w:t>
      </w:r>
      <w:r>
        <w:rPr>
          <w:rFonts w:hint="eastAsia" w:ascii="宋体" w:hAnsi="宋体"/>
          <w:color w:val="auto"/>
          <w:szCs w:val="21"/>
        </w:rPr>
        <w:t>元</w:t>
      </w:r>
    </w:p>
    <w:p>
      <w:pPr>
        <w:snapToGrid w:val="0"/>
        <w:spacing w:line="360" w:lineRule="auto"/>
        <w:rPr>
          <w:rFonts w:ascii="宋体" w:hAnsi="宋体"/>
          <w:color w:val="auto"/>
          <w:szCs w:val="21"/>
        </w:rPr>
      </w:pPr>
      <w:r>
        <w:rPr>
          <w:rFonts w:hint="eastAsia" w:ascii="宋体" w:hAnsi="宋体"/>
          <w:color w:val="auto"/>
          <w:szCs w:val="21"/>
        </w:rPr>
        <w:t>上述报价已经包含绿色施工安全防护措施费。</w:t>
      </w:r>
    </w:p>
    <w:p>
      <w:pPr>
        <w:snapToGrid w:val="0"/>
        <w:spacing w:line="360" w:lineRule="auto"/>
        <w:rPr>
          <w:rFonts w:ascii="宋体" w:hAnsi="宋体"/>
          <w:color w:val="auto"/>
          <w:szCs w:val="21"/>
        </w:rPr>
      </w:pPr>
      <w:r>
        <w:rPr>
          <w:rFonts w:hint="eastAsia" w:ascii="宋体" w:hAnsi="宋体"/>
          <w:color w:val="auto"/>
          <w:szCs w:val="21"/>
        </w:rPr>
        <w:t>（1）绿色施工安全防护措施费（不含税）：</w:t>
      </w:r>
    </w:p>
    <w:p>
      <w:pPr>
        <w:snapToGrid w:val="0"/>
        <w:spacing w:line="360" w:lineRule="auto"/>
        <w:ind w:firstLine="1200" w:firstLineChars="500"/>
        <w:rPr>
          <w:rFonts w:ascii="宋体" w:hAnsi="宋体"/>
          <w:color w:val="auto"/>
          <w:szCs w:val="21"/>
        </w:rPr>
      </w:pPr>
      <w:r>
        <w:rPr>
          <w:rFonts w:hint="eastAsia" w:ascii="宋体" w:hAnsi="宋体"/>
          <w:color w:val="auto"/>
          <w:szCs w:val="21"/>
        </w:rPr>
        <w:t>（小写）人民币</w:t>
      </w:r>
      <w:r>
        <w:rPr>
          <w:rFonts w:hint="eastAsia" w:ascii="宋体" w:hAnsi="宋体"/>
          <w:color w:val="auto"/>
          <w:szCs w:val="21"/>
          <w:u w:val="single"/>
        </w:rPr>
        <w:t xml:space="preserve">                            </w:t>
      </w:r>
      <w:r>
        <w:rPr>
          <w:rFonts w:hint="eastAsia" w:ascii="宋体" w:hAnsi="宋体"/>
          <w:color w:val="auto"/>
          <w:szCs w:val="21"/>
        </w:rPr>
        <w:t>元</w:t>
      </w:r>
    </w:p>
    <w:p>
      <w:pPr>
        <w:snapToGrid w:val="0"/>
        <w:spacing w:line="360" w:lineRule="auto"/>
        <w:ind w:firstLine="1200" w:firstLineChars="500"/>
        <w:rPr>
          <w:rFonts w:ascii="宋体" w:hAnsi="宋体"/>
          <w:color w:val="auto"/>
          <w:szCs w:val="21"/>
        </w:rPr>
      </w:pPr>
      <w:r>
        <w:rPr>
          <w:rFonts w:hint="eastAsia" w:ascii="宋体" w:hAnsi="宋体"/>
          <w:color w:val="auto"/>
          <w:szCs w:val="21"/>
        </w:rPr>
        <w:t>（大写）人民币</w:t>
      </w:r>
      <w:r>
        <w:rPr>
          <w:rFonts w:hint="eastAsia" w:ascii="宋体" w:hAnsi="宋体"/>
          <w:color w:val="auto"/>
          <w:szCs w:val="21"/>
          <w:u w:val="single"/>
        </w:rPr>
        <w:t xml:space="preserve">                            </w:t>
      </w:r>
      <w:r>
        <w:rPr>
          <w:rFonts w:hint="eastAsia" w:ascii="宋体" w:hAnsi="宋体"/>
          <w:color w:val="auto"/>
          <w:szCs w:val="21"/>
        </w:rPr>
        <w:t>元</w:t>
      </w:r>
    </w:p>
    <w:p>
      <w:pPr>
        <w:snapToGrid w:val="0"/>
        <w:spacing w:line="360" w:lineRule="auto"/>
        <w:rPr>
          <w:rFonts w:ascii="宋体" w:hAnsi="宋体"/>
          <w:b/>
          <w:color w:val="auto"/>
          <w:szCs w:val="21"/>
        </w:rPr>
      </w:pPr>
      <w:r>
        <w:rPr>
          <w:rFonts w:hint="eastAsia" w:ascii="宋体" w:hAnsi="宋体"/>
          <w:b/>
          <w:color w:val="auto"/>
          <w:szCs w:val="21"/>
        </w:rPr>
        <w:t>（有效绿色施工安全防护措施费报价大于或等于答疑时公布的招标控制价该部分价格的100%）</w:t>
      </w:r>
    </w:p>
    <w:p>
      <w:pPr>
        <w:snapToGrid w:val="0"/>
        <w:spacing w:line="360" w:lineRule="auto"/>
        <w:rPr>
          <w:rFonts w:ascii="宋体" w:hAnsi="宋体"/>
          <w:color w:val="auto"/>
          <w:szCs w:val="21"/>
        </w:rPr>
      </w:pPr>
      <w:r>
        <w:rPr>
          <w:rFonts w:hint="eastAsia" w:ascii="宋体" w:hAnsi="宋体"/>
          <w:color w:val="auto"/>
          <w:szCs w:val="21"/>
        </w:rPr>
        <w:t>（2）本工程“投标总价”由</w:t>
      </w:r>
      <w:r>
        <w:rPr>
          <w:rFonts w:hint="eastAsia" w:ascii="宋体" w:hAnsi="宋体"/>
          <w:color w:val="auto"/>
          <w:szCs w:val="21"/>
          <w:u w:val="single"/>
        </w:rPr>
        <w:t xml:space="preserve">    </w:t>
      </w:r>
      <w:r>
        <w:rPr>
          <w:rFonts w:hint="eastAsia" w:ascii="宋体" w:hAnsi="宋体"/>
          <w:color w:val="auto"/>
          <w:szCs w:val="21"/>
        </w:rPr>
        <w:t>项分项工程投标价组成，分别如下：</w:t>
      </w:r>
    </w:p>
    <w:tbl>
      <w:tblPr>
        <w:tblStyle w:val="28"/>
        <w:tblW w:w="8946" w:type="dxa"/>
        <w:tblInd w:w="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4578"/>
        <w:gridCol w:w="1800"/>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1" w:type="dxa"/>
            <w:vAlign w:val="center"/>
          </w:tcPr>
          <w:p>
            <w:pPr>
              <w:snapToGrid w:val="0"/>
              <w:spacing w:line="360" w:lineRule="auto"/>
              <w:jc w:val="center"/>
              <w:rPr>
                <w:rFonts w:ascii="宋体" w:hAnsi="宋体"/>
                <w:color w:val="auto"/>
                <w:szCs w:val="21"/>
              </w:rPr>
            </w:pPr>
            <w:r>
              <w:rPr>
                <w:rFonts w:hint="eastAsia" w:ascii="宋体" w:hAnsi="宋体"/>
                <w:color w:val="auto"/>
                <w:szCs w:val="21"/>
              </w:rPr>
              <w:t>序号</w:t>
            </w:r>
          </w:p>
        </w:tc>
        <w:tc>
          <w:tcPr>
            <w:tcW w:w="4578" w:type="dxa"/>
            <w:vAlign w:val="center"/>
          </w:tcPr>
          <w:p>
            <w:pPr>
              <w:snapToGrid w:val="0"/>
              <w:spacing w:line="360" w:lineRule="auto"/>
              <w:jc w:val="center"/>
              <w:rPr>
                <w:rFonts w:ascii="宋体" w:hAnsi="宋体"/>
                <w:color w:val="auto"/>
                <w:szCs w:val="21"/>
              </w:rPr>
            </w:pPr>
            <w:r>
              <w:rPr>
                <w:rFonts w:hint="eastAsia" w:ascii="宋体" w:hAnsi="宋体"/>
                <w:color w:val="auto"/>
                <w:szCs w:val="21"/>
              </w:rPr>
              <w:t>分项工程名称</w:t>
            </w:r>
          </w:p>
        </w:tc>
        <w:tc>
          <w:tcPr>
            <w:tcW w:w="1800" w:type="dxa"/>
            <w:vAlign w:val="center"/>
          </w:tcPr>
          <w:p>
            <w:pPr>
              <w:snapToGrid w:val="0"/>
              <w:spacing w:line="360" w:lineRule="auto"/>
              <w:jc w:val="center"/>
              <w:rPr>
                <w:rFonts w:ascii="宋体" w:hAnsi="宋体"/>
                <w:color w:val="auto"/>
                <w:szCs w:val="21"/>
              </w:rPr>
            </w:pPr>
            <w:r>
              <w:rPr>
                <w:rFonts w:hint="eastAsia" w:ascii="宋体" w:hAnsi="宋体"/>
                <w:color w:val="auto"/>
                <w:szCs w:val="21"/>
              </w:rPr>
              <w:t>投标价（元）</w:t>
            </w:r>
          </w:p>
        </w:tc>
        <w:tc>
          <w:tcPr>
            <w:tcW w:w="1817" w:type="dxa"/>
            <w:vAlign w:val="center"/>
          </w:tcPr>
          <w:p>
            <w:pPr>
              <w:snapToGrid w:val="0"/>
              <w:spacing w:line="360" w:lineRule="auto"/>
              <w:rPr>
                <w:rFonts w:ascii="宋体" w:hAnsi="宋体"/>
                <w:color w:val="auto"/>
                <w:szCs w:val="21"/>
              </w:rPr>
            </w:pPr>
            <w:r>
              <w:rPr>
                <w:rFonts w:hint="eastAsia" w:ascii="宋体" w:hAnsi="宋体"/>
                <w:color w:val="auto"/>
                <w:szCs w:val="21"/>
              </w:rPr>
              <w:t>绿色施工安全防护措施费（不含税）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1" w:type="dxa"/>
            <w:vAlign w:val="center"/>
          </w:tcPr>
          <w:p>
            <w:pPr>
              <w:snapToGrid w:val="0"/>
              <w:spacing w:line="360" w:lineRule="auto"/>
              <w:jc w:val="center"/>
              <w:rPr>
                <w:rFonts w:ascii="宋体" w:hAnsi="宋体"/>
                <w:color w:val="auto"/>
                <w:szCs w:val="21"/>
              </w:rPr>
            </w:pPr>
          </w:p>
        </w:tc>
        <w:tc>
          <w:tcPr>
            <w:tcW w:w="4578" w:type="dxa"/>
            <w:vAlign w:val="center"/>
          </w:tcPr>
          <w:p>
            <w:pPr>
              <w:snapToGrid w:val="0"/>
              <w:spacing w:line="360" w:lineRule="auto"/>
              <w:rPr>
                <w:rFonts w:ascii="宋体" w:hAnsi="宋体"/>
                <w:color w:val="auto"/>
                <w:szCs w:val="21"/>
              </w:rPr>
            </w:pPr>
          </w:p>
        </w:tc>
        <w:tc>
          <w:tcPr>
            <w:tcW w:w="1800" w:type="dxa"/>
          </w:tcPr>
          <w:p>
            <w:pPr>
              <w:snapToGrid w:val="0"/>
              <w:spacing w:line="360" w:lineRule="auto"/>
              <w:rPr>
                <w:rFonts w:ascii="宋体" w:hAnsi="宋体"/>
                <w:color w:val="auto"/>
                <w:szCs w:val="21"/>
              </w:rPr>
            </w:pPr>
          </w:p>
        </w:tc>
        <w:tc>
          <w:tcPr>
            <w:tcW w:w="1817" w:type="dxa"/>
          </w:tcPr>
          <w:p>
            <w:pPr>
              <w:snapToGrid w:val="0"/>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1" w:type="dxa"/>
            <w:vAlign w:val="center"/>
          </w:tcPr>
          <w:p>
            <w:pPr>
              <w:snapToGrid w:val="0"/>
              <w:spacing w:line="360" w:lineRule="auto"/>
              <w:jc w:val="center"/>
              <w:rPr>
                <w:rFonts w:ascii="宋体" w:hAnsi="宋体"/>
                <w:color w:val="auto"/>
                <w:szCs w:val="21"/>
              </w:rPr>
            </w:pPr>
          </w:p>
        </w:tc>
        <w:tc>
          <w:tcPr>
            <w:tcW w:w="4578" w:type="dxa"/>
            <w:vAlign w:val="center"/>
          </w:tcPr>
          <w:p>
            <w:pPr>
              <w:snapToGrid w:val="0"/>
              <w:spacing w:line="360" w:lineRule="auto"/>
              <w:rPr>
                <w:rFonts w:ascii="宋体" w:hAnsi="宋体"/>
                <w:color w:val="auto"/>
                <w:szCs w:val="21"/>
              </w:rPr>
            </w:pPr>
          </w:p>
        </w:tc>
        <w:tc>
          <w:tcPr>
            <w:tcW w:w="1800" w:type="dxa"/>
          </w:tcPr>
          <w:p>
            <w:pPr>
              <w:snapToGrid w:val="0"/>
              <w:spacing w:line="360" w:lineRule="auto"/>
              <w:rPr>
                <w:rFonts w:ascii="宋体" w:hAnsi="宋体"/>
                <w:color w:val="auto"/>
                <w:szCs w:val="21"/>
              </w:rPr>
            </w:pPr>
          </w:p>
        </w:tc>
        <w:tc>
          <w:tcPr>
            <w:tcW w:w="1817" w:type="dxa"/>
          </w:tcPr>
          <w:p>
            <w:pPr>
              <w:snapToGrid w:val="0"/>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1" w:type="dxa"/>
            <w:vAlign w:val="center"/>
          </w:tcPr>
          <w:p>
            <w:pPr>
              <w:snapToGrid w:val="0"/>
              <w:spacing w:line="360" w:lineRule="auto"/>
              <w:jc w:val="center"/>
              <w:rPr>
                <w:rFonts w:ascii="宋体" w:hAnsi="宋体"/>
                <w:color w:val="auto"/>
                <w:szCs w:val="21"/>
              </w:rPr>
            </w:pPr>
          </w:p>
        </w:tc>
        <w:tc>
          <w:tcPr>
            <w:tcW w:w="4578" w:type="dxa"/>
            <w:vAlign w:val="center"/>
          </w:tcPr>
          <w:p>
            <w:pPr>
              <w:snapToGrid w:val="0"/>
              <w:spacing w:line="360" w:lineRule="auto"/>
              <w:rPr>
                <w:rFonts w:ascii="宋体" w:hAnsi="宋体"/>
                <w:color w:val="auto"/>
                <w:szCs w:val="21"/>
              </w:rPr>
            </w:pPr>
          </w:p>
        </w:tc>
        <w:tc>
          <w:tcPr>
            <w:tcW w:w="1800" w:type="dxa"/>
          </w:tcPr>
          <w:p>
            <w:pPr>
              <w:snapToGrid w:val="0"/>
              <w:spacing w:line="360" w:lineRule="auto"/>
              <w:rPr>
                <w:rFonts w:ascii="宋体" w:hAnsi="宋体"/>
                <w:color w:val="auto"/>
                <w:szCs w:val="21"/>
              </w:rPr>
            </w:pPr>
          </w:p>
        </w:tc>
        <w:tc>
          <w:tcPr>
            <w:tcW w:w="1817" w:type="dxa"/>
          </w:tcPr>
          <w:p>
            <w:pPr>
              <w:snapToGrid w:val="0"/>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51" w:type="dxa"/>
          </w:tcPr>
          <w:p>
            <w:pPr>
              <w:snapToGrid w:val="0"/>
              <w:spacing w:line="360" w:lineRule="auto"/>
              <w:rPr>
                <w:rFonts w:ascii="宋体" w:hAnsi="宋体"/>
                <w:color w:val="auto"/>
                <w:szCs w:val="21"/>
              </w:rPr>
            </w:pPr>
          </w:p>
        </w:tc>
        <w:tc>
          <w:tcPr>
            <w:tcW w:w="4578" w:type="dxa"/>
          </w:tcPr>
          <w:p>
            <w:pPr>
              <w:snapToGrid w:val="0"/>
              <w:spacing w:line="360" w:lineRule="auto"/>
              <w:rPr>
                <w:rFonts w:ascii="宋体" w:hAnsi="宋体"/>
                <w:color w:val="auto"/>
                <w:szCs w:val="21"/>
              </w:rPr>
            </w:pPr>
          </w:p>
        </w:tc>
        <w:tc>
          <w:tcPr>
            <w:tcW w:w="1800" w:type="dxa"/>
          </w:tcPr>
          <w:p>
            <w:pPr>
              <w:snapToGrid w:val="0"/>
              <w:spacing w:line="360" w:lineRule="auto"/>
              <w:rPr>
                <w:rFonts w:ascii="宋体" w:hAnsi="宋体"/>
                <w:color w:val="auto"/>
                <w:szCs w:val="21"/>
              </w:rPr>
            </w:pPr>
          </w:p>
        </w:tc>
        <w:tc>
          <w:tcPr>
            <w:tcW w:w="1817" w:type="dxa"/>
          </w:tcPr>
          <w:p>
            <w:pPr>
              <w:snapToGrid w:val="0"/>
              <w:spacing w:line="360" w:lineRule="auto"/>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329" w:type="dxa"/>
            <w:gridSpan w:val="2"/>
            <w:vAlign w:val="center"/>
          </w:tcPr>
          <w:p>
            <w:pPr>
              <w:snapToGrid w:val="0"/>
              <w:spacing w:line="360" w:lineRule="auto"/>
              <w:jc w:val="center"/>
              <w:rPr>
                <w:rFonts w:ascii="宋体" w:hAnsi="宋体"/>
                <w:color w:val="auto"/>
                <w:szCs w:val="21"/>
              </w:rPr>
            </w:pPr>
            <w:r>
              <w:rPr>
                <w:rFonts w:hint="eastAsia" w:ascii="宋体" w:hAnsi="宋体"/>
                <w:color w:val="auto"/>
                <w:szCs w:val="21"/>
              </w:rPr>
              <w:t>合计（即“投标总价” ）</w:t>
            </w:r>
          </w:p>
        </w:tc>
        <w:tc>
          <w:tcPr>
            <w:tcW w:w="1800" w:type="dxa"/>
          </w:tcPr>
          <w:p>
            <w:pPr>
              <w:snapToGrid w:val="0"/>
              <w:spacing w:line="360" w:lineRule="auto"/>
              <w:rPr>
                <w:rFonts w:ascii="宋体" w:hAnsi="宋体"/>
                <w:color w:val="auto"/>
                <w:szCs w:val="21"/>
              </w:rPr>
            </w:pPr>
          </w:p>
        </w:tc>
        <w:tc>
          <w:tcPr>
            <w:tcW w:w="1817" w:type="dxa"/>
          </w:tcPr>
          <w:p>
            <w:pPr>
              <w:snapToGrid w:val="0"/>
              <w:spacing w:line="360" w:lineRule="auto"/>
              <w:rPr>
                <w:rFonts w:ascii="宋体" w:hAnsi="宋体"/>
                <w:color w:val="auto"/>
                <w:szCs w:val="21"/>
              </w:rPr>
            </w:pPr>
          </w:p>
        </w:tc>
      </w:tr>
    </w:tbl>
    <w:p>
      <w:pPr>
        <w:snapToGrid w:val="0"/>
        <w:spacing w:line="360" w:lineRule="auto"/>
        <w:ind w:left="1440" w:leftChars="600" w:firstLine="2428" w:firstLineChars="1012"/>
        <w:rPr>
          <w:rFonts w:ascii="宋体" w:hAnsi="宋体"/>
          <w:color w:val="auto"/>
          <w:szCs w:val="21"/>
        </w:rPr>
      </w:pPr>
      <w:r>
        <w:rPr>
          <w:rFonts w:hint="eastAsia" w:ascii="宋体" w:hAnsi="宋体"/>
          <w:color w:val="auto"/>
          <w:szCs w:val="21"/>
        </w:rPr>
        <w:t xml:space="preserve">投标单位：（加盖投标单位公章）                  </w:t>
      </w:r>
    </w:p>
    <w:p>
      <w:pPr>
        <w:snapToGrid w:val="0"/>
        <w:spacing w:line="360" w:lineRule="auto"/>
        <w:ind w:left="1440" w:leftChars="600" w:firstLine="2428" w:firstLineChars="1012"/>
        <w:rPr>
          <w:rFonts w:ascii="宋体" w:hAnsi="宋体"/>
          <w:color w:val="auto"/>
          <w:szCs w:val="21"/>
        </w:rPr>
      </w:pPr>
      <w:r>
        <w:rPr>
          <w:rFonts w:hint="eastAsia" w:ascii="宋体" w:hAnsi="宋体"/>
          <w:color w:val="auto"/>
          <w:szCs w:val="21"/>
        </w:rPr>
        <w:t>法定代表人（或代理人）签名：</w:t>
      </w:r>
    </w:p>
    <w:p>
      <w:pPr>
        <w:snapToGrid w:val="0"/>
        <w:spacing w:line="360" w:lineRule="auto"/>
        <w:jc w:val="center"/>
        <w:rPr>
          <w:rFonts w:ascii="宋体" w:hAnsi="宋体"/>
          <w:color w:val="auto"/>
          <w:szCs w:val="21"/>
        </w:rPr>
      </w:pPr>
      <w:r>
        <w:rPr>
          <w:rFonts w:hint="eastAsia" w:ascii="宋体" w:hAnsi="宋体"/>
          <w:color w:val="auto"/>
          <w:szCs w:val="21"/>
        </w:rPr>
        <w:t>日    期：</w:t>
      </w:r>
    </w:p>
    <w:p>
      <w:pPr>
        <w:numPr>
          <w:ilvl w:val="0"/>
          <w:numId w:val="24"/>
        </w:numPr>
        <w:spacing w:line="360" w:lineRule="auto"/>
        <w:ind w:left="0" w:leftChars="0" w:firstLine="0" w:firstLineChars="0"/>
        <w:jc w:val="center"/>
        <w:rPr>
          <w:rFonts w:ascii="宋体" w:hAnsi="宋体"/>
          <w:b/>
          <w:color w:val="auto"/>
        </w:rPr>
      </w:pPr>
      <w:r>
        <w:rPr>
          <w:rFonts w:hint="eastAsia" w:ascii="宋体" w:hAnsi="宋体"/>
          <w:b/>
          <w:color w:val="auto"/>
        </w:rPr>
        <w:t>已标价工程量清单</w:t>
      </w:r>
    </w:p>
    <w:p>
      <w:pPr>
        <w:spacing w:line="360" w:lineRule="auto"/>
        <w:ind w:right="560"/>
        <w:jc w:val="right"/>
        <w:rPr>
          <w:rFonts w:ascii="宋体" w:hAnsi="宋体"/>
          <w:color w:val="auto"/>
          <w:u w:val="single"/>
        </w:rPr>
      </w:pPr>
    </w:p>
    <w:p>
      <w:pPr>
        <w:spacing w:line="360" w:lineRule="auto"/>
        <w:rPr>
          <w:rFonts w:ascii="宋体" w:hAnsi="宋体"/>
          <w:color w:val="auto"/>
        </w:rPr>
      </w:pPr>
    </w:p>
    <w:p>
      <w:pPr>
        <w:spacing w:line="360" w:lineRule="auto"/>
        <w:rPr>
          <w:rFonts w:ascii="宋体" w:hAnsi="宋体"/>
          <w:color w:val="auto"/>
        </w:rPr>
      </w:pPr>
    </w:p>
    <w:sectPr>
      <w:footerReference r:id="rId10" w:type="first"/>
      <w:headerReference r:id="rId6" w:type="default"/>
      <w:footerReference r:id="rId8" w:type="default"/>
      <w:headerReference r:id="rId7" w:type="even"/>
      <w:footerReference r:id="rId9" w:type="even"/>
      <w:pgSz w:w="11907" w:h="16840"/>
      <w:pgMar w:top="1417" w:right="1134" w:bottom="1417" w:left="1417" w:header="737" w:footer="737" w:gutter="0"/>
      <w:cols w:space="720" w:num="1"/>
      <w:titlePg/>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53802"/>
    </w:sdtPr>
    <w:sdtContent>
      <w:p>
        <w:pPr>
          <w:pStyle w:val="20"/>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lear" w:pos="4153"/>
        <w:tab w:val="clear" w:pos="8306"/>
      </w:tabs>
      <w:ind w:right="360"/>
      <w:jc w:val="center"/>
      <w:rPr>
        <w:spacing w:val="36"/>
        <w:sz w:val="21"/>
        <w:szCs w:val="21"/>
      </w:rPr>
    </w:pPr>
    <w:r>
      <w:rPr>
        <w:sz w:val="21"/>
      </w:rPr>
      <w:pict>
        <v:shape id="文本框 4" o:spid="_x0000_s307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&#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n/odf0QEAAKMDAAAOAAAAAAAAAAEAIAAAACIB&#10;AABkcnMvZTJvRG9jLnhtbFBLBQYAAAAABgAGAFkBAABlBQAAAAA=&#10;">
          <v:path/>
          <v:fill on="f" focussize="0,0"/>
          <v:stroke on="f" weight="1.25pt" joinstyle="miter"/>
          <v:imagedata o:title=""/>
          <o:lock v:ext="edit"/>
          <v:textbox inset="0mm,0mm,0mm,0mm" style="mso-fit-shape-to-text:t;">
            <w:txbxContent>
              <w:p>
                <w:pPr>
                  <w:pStyle w:val="20"/>
                </w:pPr>
                <w:r>
                  <w:fldChar w:fldCharType="begin"/>
                </w:r>
                <w:r>
                  <w:instrText xml:space="preserve"> PAGE  \* MERGEFORMAT </w:instrText>
                </w:r>
                <w:r>
                  <w:fldChar w:fldCharType="separate"/>
                </w:r>
                <w:r>
                  <w:rPr>
                    <w:rFonts w:hint="eastAsia"/>
                  </w:rP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0"/>
      </w:rPr>
    </w:pPr>
    <w:r>
      <w:fldChar w:fldCharType="begin"/>
    </w:r>
    <w:r>
      <w:rPr>
        <w:rStyle w:val="30"/>
      </w:rPr>
      <w:instrText xml:space="preserve">PAGE  </w:instrText>
    </w:r>
    <w:r>
      <w:fldChar w:fldCharType="separate"/>
    </w:r>
    <w:r>
      <w:rPr>
        <w:rStyle w:val="30"/>
      </w:rPr>
      <w:t>43</w:t>
    </w:r>
    <w:r>
      <w:fldChar w:fldCharType="end"/>
    </w:r>
  </w:p>
  <w:p>
    <w:pPr>
      <w:pStyle w:val="2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文本框 5" o:spid="_x0000_s307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Nr0fSAQAAow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RYllBgd++fnj8uvP&#10;5fd3sk7y9B5qzLr3mBeH927ApZnvAS8T60EGk77Ih2AcxT1fxRVDJDw9qlZVVWKIY2x2EL94fO4D&#10;xA/CGZKMhgacXhaVnT5BHFPnlFTNujuldZ6gtqRH1HX1bp1fXEOIri0WSSzGbpMVh/0wUdu79ozM&#10;elyBhlrceEr0R4sKp22ZjTAb+9k4+qAOHTa5zPXA3x4jtpO7TBVG2Kkwzi7znPYsLce/fs56/Le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Vo2vR9IBAACjAwAADgAAAAAAAAABACAAAAAi&#10;AQAAZHJzL2Uyb0RvYy54bWxQSwUGAAAAAAYABgBZAQAAZgUAAAAA&#10;">
          <v:path/>
          <v:fill on="f" focussize="0,0"/>
          <v:stroke on="f" weight="1.25pt" joinstyle="miter"/>
          <v:imagedata o:title=""/>
          <o:lock v:ext="edit"/>
          <v:textbox inset="0mm,0mm,0mm,0mm" style="mso-fit-shape-to-text:t;">
            <w:txbxContent>
              <w:p>
                <w:pPr>
                  <w:pStyle w:val="20"/>
                </w:pPr>
                <w:r>
                  <w:fldChar w:fldCharType="begin"/>
                </w:r>
                <w:r>
                  <w:instrText xml:space="preserve"> PAGE  \* MERGEFORMAT </w:instrText>
                </w:r>
                <w:r>
                  <w:fldChar w:fldCharType="separate"/>
                </w:r>
                <w:r>
                  <w:t>37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5726"/>
      </w:tabs>
      <w:rPr>
        <w:rFonts w:ascii="宋体" w:hAnsi="宋体"/>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0"/>
      </w:rPr>
    </w:pPr>
    <w:r>
      <w:fldChar w:fldCharType="begin"/>
    </w:r>
    <w:r>
      <w:rPr>
        <w:rStyle w:val="30"/>
      </w:rPr>
      <w:instrText xml:space="preserve">PAGE  </w:instrText>
    </w:r>
    <w:r>
      <w:fldChar w:fldCharType="separate"/>
    </w:r>
    <w:r>
      <w:rPr>
        <w:rStyle w:val="30"/>
      </w:rPr>
      <w:t>43</w:t>
    </w:r>
    <w:r>
      <w:fldChar w:fldCharType="end"/>
    </w:r>
  </w:p>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05452"/>
    <w:multiLevelType w:val="singleLevel"/>
    <w:tmpl w:val="8F305452"/>
    <w:lvl w:ilvl="0" w:tentative="0">
      <w:start w:val="1"/>
      <w:numFmt w:val="decimalEnclosedCircleChinese"/>
      <w:suff w:val="nothing"/>
      <w:lvlText w:val="%1　"/>
      <w:lvlJc w:val="left"/>
      <w:pPr>
        <w:ind w:left="0" w:firstLine="400"/>
      </w:pPr>
      <w:rPr>
        <w:rFonts w:hint="eastAsia"/>
      </w:rPr>
    </w:lvl>
  </w:abstractNum>
  <w:abstractNum w:abstractNumId="1">
    <w:nsid w:val="AA3BF96E"/>
    <w:multiLevelType w:val="singleLevel"/>
    <w:tmpl w:val="AA3BF96E"/>
    <w:lvl w:ilvl="0" w:tentative="0">
      <w:start w:val="1"/>
      <w:numFmt w:val="chineseCounting"/>
      <w:suff w:val="nothing"/>
      <w:lvlText w:val="%1、"/>
      <w:lvlJc w:val="left"/>
      <w:pPr>
        <w:ind w:left="0" w:firstLine="420"/>
      </w:pPr>
      <w:rPr>
        <w:rFonts w:hint="eastAsia"/>
      </w:rPr>
    </w:lvl>
  </w:abstractNum>
  <w:abstractNum w:abstractNumId="2">
    <w:nsid w:val="CC2A5F77"/>
    <w:multiLevelType w:val="singleLevel"/>
    <w:tmpl w:val="CC2A5F77"/>
    <w:lvl w:ilvl="0" w:tentative="0">
      <w:start w:val="1"/>
      <w:numFmt w:val="decimal"/>
      <w:lvlText w:val="%1)"/>
      <w:lvlJc w:val="left"/>
      <w:pPr>
        <w:ind w:left="425" w:hanging="425"/>
      </w:pPr>
      <w:rPr>
        <w:rFonts w:hint="default"/>
      </w:rPr>
    </w:lvl>
  </w:abstractNum>
  <w:abstractNum w:abstractNumId="3">
    <w:nsid w:val="CC2A7285"/>
    <w:multiLevelType w:val="singleLevel"/>
    <w:tmpl w:val="CC2A7285"/>
    <w:lvl w:ilvl="0" w:tentative="0">
      <w:start w:val="1"/>
      <w:numFmt w:val="bullet"/>
      <w:lvlText w:val=""/>
      <w:lvlJc w:val="left"/>
      <w:pPr>
        <w:ind w:left="420" w:hanging="420"/>
      </w:pPr>
      <w:rPr>
        <w:rFonts w:hint="default" w:ascii="Wingdings" w:hAnsi="Wingdings"/>
      </w:rPr>
    </w:lvl>
  </w:abstractNum>
  <w:abstractNum w:abstractNumId="4">
    <w:nsid w:val="FBB473D2"/>
    <w:multiLevelType w:val="singleLevel"/>
    <w:tmpl w:val="FBB473D2"/>
    <w:lvl w:ilvl="0" w:tentative="0">
      <w:start w:val="1"/>
      <w:numFmt w:val="decimal"/>
      <w:lvlText w:val="%1)"/>
      <w:lvlJc w:val="left"/>
      <w:pPr>
        <w:ind w:left="425" w:hanging="425"/>
      </w:pPr>
      <w:rPr>
        <w:rFonts w:hint="default"/>
      </w:rPr>
    </w:lvl>
  </w:abstractNum>
  <w:abstractNum w:abstractNumId="5">
    <w:nsid w:val="0000000A"/>
    <w:multiLevelType w:val="multilevel"/>
    <w:tmpl w:val="0000000A"/>
    <w:lvl w:ilvl="0" w:tentative="0">
      <w:start w:val="1"/>
      <w:numFmt w:val="decimal"/>
      <w:lvlText w:val="%1）"/>
      <w:lvlJc w:val="left"/>
      <w:pPr>
        <w:ind w:left="360" w:hanging="360"/>
      </w:pPr>
      <w:rPr>
        <w:rFonts w:hint="default" w:asciiTheme="minorEastAsia" w:hAnsiTheme="minorEastAsia" w:eastAsiaTheme="minorEastAsia"/>
        <w:b w:val="0"/>
      </w:rPr>
    </w:lvl>
    <w:lvl w:ilvl="1" w:tentative="0">
      <w:start w:val="1"/>
      <w:numFmt w:val="lowerLetter"/>
      <w:lvlText w:val="%2)"/>
      <w:lvlJc w:val="left"/>
      <w:pPr>
        <w:ind w:left="1529" w:hanging="420"/>
      </w:pPr>
    </w:lvl>
    <w:lvl w:ilvl="2" w:tentative="0">
      <w:start w:val="1"/>
      <w:numFmt w:val="lowerRoman"/>
      <w:lvlText w:val="%3."/>
      <w:lvlJc w:val="right"/>
      <w:pPr>
        <w:ind w:left="1949" w:hanging="420"/>
      </w:pPr>
    </w:lvl>
    <w:lvl w:ilvl="3" w:tentative="0">
      <w:start w:val="1"/>
      <w:numFmt w:val="decimal"/>
      <w:lvlText w:val="%4."/>
      <w:lvlJc w:val="left"/>
      <w:pPr>
        <w:ind w:left="2369" w:hanging="420"/>
      </w:pPr>
    </w:lvl>
    <w:lvl w:ilvl="4" w:tentative="0">
      <w:start w:val="1"/>
      <w:numFmt w:val="lowerLetter"/>
      <w:lvlText w:val="%5)"/>
      <w:lvlJc w:val="left"/>
      <w:pPr>
        <w:ind w:left="2789" w:hanging="420"/>
      </w:pPr>
    </w:lvl>
    <w:lvl w:ilvl="5" w:tentative="0">
      <w:start w:val="1"/>
      <w:numFmt w:val="lowerRoman"/>
      <w:lvlText w:val="%6."/>
      <w:lvlJc w:val="right"/>
      <w:pPr>
        <w:ind w:left="3209" w:hanging="420"/>
      </w:pPr>
    </w:lvl>
    <w:lvl w:ilvl="6" w:tentative="0">
      <w:start w:val="1"/>
      <w:numFmt w:val="decimal"/>
      <w:lvlText w:val="%7."/>
      <w:lvlJc w:val="left"/>
      <w:pPr>
        <w:ind w:left="3629" w:hanging="420"/>
      </w:pPr>
    </w:lvl>
    <w:lvl w:ilvl="7" w:tentative="0">
      <w:start w:val="1"/>
      <w:numFmt w:val="lowerLetter"/>
      <w:lvlText w:val="%8)"/>
      <w:lvlJc w:val="left"/>
      <w:pPr>
        <w:ind w:left="4049" w:hanging="420"/>
      </w:pPr>
    </w:lvl>
    <w:lvl w:ilvl="8" w:tentative="0">
      <w:start w:val="1"/>
      <w:numFmt w:val="lowerRoman"/>
      <w:lvlText w:val="%9."/>
      <w:lvlJc w:val="right"/>
      <w:pPr>
        <w:ind w:left="4469" w:hanging="420"/>
      </w:pPr>
    </w:lvl>
  </w:abstractNum>
  <w:abstractNum w:abstractNumId="6">
    <w:nsid w:val="031DEE41"/>
    <w:multiLevelType w:val="singleLevel"/>
    <w:tmpl w:val="031DEE41"/>
    <w:lvl w:ilvl="0" w:tentative="0">
      <w:start w:val="1"/>
      <w:numFmt w:val="chineseCounting"/>
      <w:suff w:val="nothing"/>
      <w:lvlText w:val="%1、"/>
      <w:lvlJc w:val="left"/>
      <w:pPr>
        <w:ind w:left="0" w:firstLine="420"/>
      </w:pPr>
      <w:rPr>
        <w:rFonts w:hint="eastAsia"/>
      </w:rPr>
    </w:lvl>
  </w:abstractNum>
  <w:abstractNum w:abstractNumId="7">
    <w:nsid w:val="09690610"/>
    <w:multiLevelType w:val="singleLevel"/>
    <w:tmpl w:val="09690610"/>
    <w:lvl w:ilvl="0" w:tentative="0">
      <w:start w:val="1"/>
      <w:numFmt w:val="decimal"/>
      <w:lvlText w:val="%1."/>
      <w:lvlJc w:val="left"/>
      <w:pPr>
        <w:ind w:left="425" w:hanging="425"/>
      </w:pPr>
      <w:rPr>
        <w:rFonts w:hint="default"/>
      </w:rPr>
    </w:lvl>
  </w:abstractNum>
  <w:abstractNum w:abstractNumId="8">
    <w:nsid w:val="10389756"/>
    <w:multiLevelType w:val="singleLevel"/>
    <w:tmpl w:val="10389756"/>
    <w:lvl w:ilvl="0" w:tentative="0">
      <w:start w:val="1"/>
      <w:numFmt w:val="decimal"/>
      <w:lvlText w:val="%1)"/>
      <w:lvlJc w:val="left"/>
      <w:pPr>
        <w:ind w:left="425" w:hanging="425"/>
      </w:pPr>
      <w:rPr>
        <w:rFonts w:hint="default" w:ascii="宋体" w:hAnsi="宋体" w:eastAsia="宋体" w:cs="宋体"/>
      </w:rPr>
    </w:lvl>
  </w:abstractNum>
  <w:abstractNum w:abstractNumId="9">
    <w:nsid w:val="22BA7DD4"/>
    <w:multiLevelType w:val="multilevel"/>
    <w:tmpl w:val="22BA7DD4"/>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2B1C8A2A"/>
    <w:multiLevelType w:val="singleLevel"/>
    <w:tmpl w:val="2B1C8A2A"/>
    <w:lvl w:ilvl="0" w:tentative="0">
      <w:start w:val="1"/>
      <w:numFmt w:val="bullet"/>
      <w:lvlText w:val=""/>
      <w:lvlJc w:val="left"/>
      <w:pPr>
        <w:ind w:left="420" w:hanging="420"/>
      </w:pPr>
      <w:rPr>
        <w:rFonts w:hint="default" w:ascii="Wingdings" w:hAnsi="Wingdings"/>
      </w:rPr>
    </w:lvl>
  </w:abstractNum>
  <w:abstractNum w:abstractNumId="11">
    <w:nsid w:val="2C9B8D4E"/>
    <w:multiLevelType w:val="singleLevel"/>
    <w:tmpl w:val="2C9B8D4E"/>
    <w:lvl w:ilvl="0" w:tentative="0">
      <w:start w:val="1"/>
      <w:numFmt w:val="decimal"/>
      <w:lvlText w:val="(%1)"/>
      <w:lvlJc w:val="left"/>
      <w:pPr>
        <w:ind w:left="425" w:hanging="425"/>
      </w:pPr>
      <w:rPr>
        <w:rFonts w:hint="default"/>
      </w:rPr>
    </w:lvl>
  </w:abstractNum>
  <w:abstractNum w:abstractNumId="12">
    <w:nsid w:val="377711C6"/>
    <w:multiLevelType w:val="multilevel"/>
    <w:tmpl w:val="377711C6"/>
    <w:lvl w:ilvl="0" w:tentative="0">
      <w:start w:val="1"/>
      <w:numFmt w:val="decimal"/>
      <w:lvlText w:val="%1、"/>
      <w:lvlJc w:val="left"/>
      <w:pPr>
        <w:tabs>
          <w:tab w:val="left" w:pos="845"/>
        </w:tabs>
        <w:ind w:left="845" w:hanging="425"/>
      </w:pPr>
      <w:rPr>
        <w:rFonts w:hint="default"/>
      </w:rPr>
    </w:lvl>
    <w:lvl w:ilvl="1" w:tentative="0">
      <w:start w:val="1"/>
      <w:numFmt w:val="decimal"/>
      <w:lvlText w:val="%2）"/>
      <w:lvlJc w:val="left"/>
      <w:pPr>
        <w:tabs>
          <w:tab w:val="left" w:pos="840"/>
        </w:tabs>
        <w:ind w:left="840" w:hanging="420"/>
      </w:pPr>
      <w:rPr>
        <w:rFonts w:hint="eastAsia"/>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AA57B93"/>
    <w:multiLevelType w:val="multilevel"/>
    <w:tmpl w:val="3AA57B93"/>
    <w:lvl w:ilvl="0" w:tentative="0">
      <w:start w:val="16"/>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B996119"/>
    <w:multiLevelType w:val="multilevel"/>
    <w:tmpl w:val="4B996119"/>
    <w:lvl w:ilvl="0" w:tentative="0">
      <w:start w:val="1"/>
      <w:numFmt w:val="decimal"/>
      <w:lvlText w:val="(%1)"/>
      <w:lvlJc w:val="left"/>
      <w:pPr>
        <w:ind w:left="138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1100797"/>
    <w:multiLevelType w:val="multilevel"/>
    <w:tmpl w:val="51100797"/>
    <w:lvl w:ilvl="0" w:tentative="0">
      <w:start w:val="1"/>
      <w:numFmt w:val="lowerLetter"/>
      <w:lvlText w:val="%1）"/>
      <w:lvlJc w:val="left"/>
      <w:pPr>
        <w:tabs>
          <w:tab w:val="left" w:pos="1980"/>
        </w:tabs>
        <w:ind w:left="19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D509D9E"/>
    <w:multiLevelType w:val="singleLevel"/>
    <w:tmpl w:val="5D509D9E"/>
    <w:lvl w:ilvl="0" w:tentative="0">
      <w:start w:val="1"/>
      <w:numFmt w:val="chineseCounting"/>
      <w:suff w:val="nothing"/>
      <w:lvlText w:val="%1、"/>
      <w:lvlJc w:val="left"/>
      <w:pPr>
        <w:ind w:left="0" w:firstLine="420"/>
      </w:pPr>
      <w:rPr>
        <w:rFonts w:hint="eastAsia"/>
      </w:rPr>
    </w:lvl>
  </w:abstractNum>
  <w:abstractNum w:abstractNumId="17">
    <w:nsid w:val="5E3E2E55"/>
    <w:multiLevelType w:val="multilevel"/>
    <w:tmpl w:val="5E3E2E55"/>
    <w:lvl w:ilvl="0" w:tentative="0">
      <w:start w:val="1"/>
      <w:numFmt w:val="decimal"/>
      <w:lvlText w:val="%1、"/>
      <w:lvlJc w:val="left"/>
      <w:pPr>
        <w:tabs>
          <w:tab w:val="left" w:pos="970"/>
        </w:tabs>
        <w:ind w:left="970" w:hanging="425"/>
      </w:pPr>
      <w:rPr>
        <w:rFonts w:hint="default"/>
      </w:rPr>
    </w:lvl>
    <w:lvl w:ilvl="1" w:tentative="0">
      <w:start w:val="1"/>
      <w:numFmt w:val="lowerLetter"/>
      <w:lvlText w:val="%2)"/>
      <w:lvlJc w:val="left"/>
      <w:pPr>
        <w:tabs>
          <w:tab w:val="left" w:pos="965"/>
        </w:tabs>
        <w:ind w:left="965" w:hanging="420"/>
      </w:pPr>
    </w:lvl>
    <w:lvl w:ilvl="2" w:tentative="0">
      <w:start w:val="1"/>
      <w:numFmt w:val="lowerRoman"/>
      <w:lvlText w:val="%3."/>
      <w:lvlJc w:val="right"/>
      <w:pPr>
        <w:tabs>
          <w:tab w:val="left" w:pos="1385"/>
        </w:tabs>
        <w:ind w:left="1385" w:hanging="420"/>
      </w:pPr>
    </w:lvl>
    <w:lvl w:ilvl="3" w:tentative="0">
      <w:start w:val="1"/>
      <w:numFmt w:val="decimal"/>
      <w:lvlText w:val="%4."/>
      <w:lvlJc w:val="left"/>
      <w:pPr>
        <w:tabs>
          <w:tab w:val="left" w:pos="1805"/>
        </w:tabs>
        <w:ind w:left="1805" w:hanging="420"/>
      </w:pPr>
    </w:lvl>
    <w:lvl w:ilvl="4" w:tentative="0">
      <w:start w:val="1"/>
      <w:numFmt w:val="lowerLetter"/>
      <w:lvlText w:val="%5)"/>
      <w:lvlJc w:val="left"/>
      <w:pPr>
        <w:tabs>
          <w:tab w:val="left" w:pos="2225"/>
        </w:tabs>
        <w:ind w:left="2225" w:hanging="420"/>
      </w:pPr>
    </w:lvl>
    <w:lvl w:ilvl="5" w:tentative="0">
      <w:start w:val="1"/>
      <w:numFmt w:val="lowerRoman"/>
      <w:lvlText w:val="%6."/>
      <w:lvlJc w:val="right"/>
      <w:pPr>
        <w:tabs>
          <w:tab w:val="left" w:pos="2645"/>
        </w:tabs>
        <w:ind w:left="2645" w:hanging="420"/>
      </w:pPr>
    </w:lvl>
    <w:lvl w:ilvl="6" w:tentative="0">
      <w:start w:val="1"/>
      <w:numFmt w:val="decimal"/>
      <w:lvlText w:val="%7."/>
      <w:lvlJc w:val="left"/>
      <w:pPr>
        <w:tabs>
          <w:tab w:val="left" w:pos="3065"/>
        </w:tabs>
        <w:ind w:left="3065" w:hanging="420"/>
      </w:pPr>
    </w:lvl>
    <w:lvl w:ilvl="7" w:tentative="0">
      <w:start w:val="1"/>
      <w:numFmt w:val="lowerLetter"/>
      <w:lvlText w:val="%8)"/>
      <w:lvlJc w:val="left"/>
      <w:pPr>
        <w:tabs>
          <w:tab w:val="left" w:pos="3485"/>
        </w:tabs>
        <w:ind w:left="3485" w:hanging="420"/>
      </w:pPr>
    </w:lvl>
    <w:lvl w:ilvl="8" w:tentative="0">
      <w:start w:val="1"/>
      <w:numFmt w:val="lowerRoman"/>
      <w:lvlText w:val="%9."/>
      <w:lvlJc w:val="right"/>
      <w:pPr>
        <w:tabs>
          <w:tab w:val="left" w:pos="3905"/>
        </w:tabs>
        <w:ind w:left="3905" w:hanging="420"/>
      </w:pPr>
    </w:lvl>
  </w:abstractNum>
  <w:abstractNum w:abstractNumId="18">
    <w:nsid w:val="5F4F6EC8"/>
    <w:multiLevelType w:val="singleLevel"/>
    <w:tmpl w:val="5F4F6EC8"/>
    <w:lvl w:ilvl="0" w:tentative="0">
      <w:start w:val="1"/>
      <w:numFmt w:val="decimal"/>
      <w:suff w:val="nothing"/>
      <w:lvlText w:val="%1．"/>
      <w:lvlJc w:val="left"/>
      <w:pPr>
        <w:ind w:left="0" w:firstLine="400"/>
      </w:pPr>
      <w:rPr>
        <w:rFonts w:hint="default"/>
      </w:rPr>
    </w:lvl>
  </w:abstractNum>
  <w:abstractNum w:abstractNumId="19">
    <w:nsid w:val="64A2CD9A"/>
    <w:multiLevelType w:val="singleLevel"/>
    <w:tmpl w:val="64A2CD9A"/>
    <w:lvl w:ilvl="0" w:tentative="0">
      <w:start w:val="1"/>
      <w:numFmt w:val="decimalEnclosedCircleChinese"/>
      <w:suff w:val="nothing"/>
      <w:lvlText w:val="%1　"/>
      <w:lvlJc w:val="left"/>
      <w:pPr>
        <w:ind w:left="0" w:firstLine="400"/>
      </w:pPr>
      <w:rPr>
        <w:rFonts w:hint="eastAsia"/>
      </w:rPr>
    </w:lvl>
  </w:abstractNum>
  <w:abstractNum w:abstractNumId="20">
    <w:nsid w:val="7209AA87"/>
    <w:multiLevelType w:val="singleLevel"/>
    <w:tmpl w:val="7209AA87"/>
    <w:lvl w:ilvl="0" w:tentative="0">
      <w:start w:val="1"/>
      <w:numFmt w:val="chineseCounting"/>
      <w:suff w:val="nothing"/>
      <w:lvlText w:val="%1、"/>
      <w:lvlJc w:val="left"/>
      <w:pPr>
        <w:ind w:left="0" w:firstLine="420"/>
      </w:pPr>
      <w:rPr>
        <w:rFonts w:hint="eastAsia"/>
      </w:rPr>
    </w:lvl>
  </w:abstractNum>
  <w:abstractNum w:abstractNumId="21">
    <w:nsid w:val="79E231FC"/>
    <w:multiLevelType w:val="multilevel"/>
    <w:tmpl w:val="79E231FC"/>
    <w:lvl w:ilvl="0" w:tentative="0">
      <w:start w:val="1"/>
      <w:numFmt w:val="decimal"/>
      <w:lvlText w:val="(%1)"/>
      <w:lvlJc w:val="left"/>
      <w:pPr>
        <w:ind w:left="900" w:hanging="420"/>
      </w:pPr>
      <w:rPr>
        <w:rFonts w:hint="default"/>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A834794"/>
    <w:multiLevelType w:val="singleLevel"/>
    <w:tmpl w:val="7A834794"/>
    <w:lvl w:ilvl="0" w:tentative="0">
      <w:start w:val="4"/>
      <w:numFmt w:val="decimal"/>
      <w:lvlText w:val="%1."/>
      <w:lvlJc w:val="left"/>
      <w:pPr>
        <w:tabs>
          <w:tab w:val="left" w:pos="312"/>
        </w:tabs>
      </w:pPr>
    </w:lvl>
  </w:abstractNum>
  <w:abstractNum w:abstractNumId="23">
    <w:nsid w:val="7B860EBF"/>
    <w:multiLevelType w:val="multilevel"/>
    <w:tmpl w:val="7B860EBF"/>
    <w:lvl w:ilvl="0" w:tentative="0">
      <w:start w:val="1"/>
      <w:numFmt w:val="decimal"/>
      <w:lvlText w:val="(%1)"/>
      <w:lvlJc w:val="left"/>
      <w:pPr>
        <w:ind w:left="752" w:hanging="420"/>
      </w:pPr>
      <w:rPr>
        <w:rFonts w:hint="default"/>
      </w:rPr>
    </w:lvl>
    <w:lvl w:ilvl="1" w:tentative="0">
      <w:start w:val="1"/>
      <w:numFmt w:val="lowerLetter"/>
      <w:lvlText w:val="%2)"/>
      <w:lvlJc w:val="left"/>
      <w:pPr>
        <w:ind w:left="1172" w:hanging="420"/>
      </w:pPr>
    </w:lvl>
    <w:lvl w:ilvl="2" w:tentative="0">
      <w:start w:val="1"/>
      <w:numFmt w:val="lowerRoman"/>
      <w:lvlText w:val="%3."/>
      <w:lvlJc w:val="right"/>
      <w:pPr>
        <w:ind w:left="1592" w:hanging="420"/>
      </w:pPr>
    </w:lvl>
    <w:lvl w:ilvl="3" w:tentative="0">
      <w:start w:val="1"/>
      <w:numFmt w:val="decimal"/>
      <w:lvlText w:val="%4."/>
      <w:lvlJc w:val="left"/>
      <w:pPr>
        <w:ind w:left="2012" w:hanging="420"/>
      </w:pPr>
    </w:lvl>
    <w:lvl w:ilvl="4" w:tentative="0">
      <w:start w:val="1"/>
      <w:numFmt w:val="lowerLetter"/>
      <w:lvlText w:val="%5)"/>
      <w:lvlJc w:val="left"/>
      <w:pPr>
        <w:ind w:left="2432" w:hanging="420"/>
      </w:pPr>
    </w:lvl>
    <w:lvl w:ilvl="5" w:tentative="0">
      <w:start w:val="1"/>
      <w:numFmt w:val="lowerRoman"/>
      <w:lvlText w:val="%6."/>
      <w:lvlJc w:val="right"/>
      <w:pPr>
        <w:ind w:left="2852" w:hanging="420"/>
      </w:pPr>
    </w:lvl>
    <w:lvl w:ilvl="6" w:tentative="0">
      <w:start w:val="1"/>
      <w:numFmt w:val="decimal"/>
      <w:lvlText w:val="%7."/>
      <w:lvlJc w:val="left"/>
      <w:pPr>
        <w:ind w:left="3272" w:hanging="420"/>
      </w:pPr>
    </w:lvl>
    <w:lvl w:ilvl="7" w:tentative="0">
      <w:start w:val="1"/>
      <w:numFmt w:val="lowerLetter"/>
      <w:lvlText w:val="%8)"/>
      <w:lvlJc w:val="left"/>
      <w:pPr>
        <w:ind w:left="3692" w:hanging="420"/>
      </w:pPr>
    </w:lvl>
    <w:lvl w:ilvl="8" w:tentative="0">
      <w:start w:val="1"/>
      <w:numFmt w:val="lowerRoman"/>
      <w:lvlText w:val="%9."/>
      <w:lvlJc w:val="right"/>
      <w:pPr>
        <w:ind w:left="4112" w:hanging="420"/>
      </w:pPr>
    </w:lvl>
  </w:abstractNum>
  <w:num w:numId="1">
    <w:abstractNumId w:val="22"/>
  </w:num>
  <w:num w:numId="2">
    <w:abstractNumId w:val="9"/>
  </w:num>
  <w:num w:numId="3">
    <w:abstractNumId w:val="11"/>
  </w:num>
  <w:num w:numId="4">
    <w:abstractNumId w:val="10"/>
  </w:num>
  <w:num w:numId="5">
    <w:abstractNumId w:val="3"/>
  </w:num>
  <w:num w:numId="6">
    <w:abstractNumId w:val="15"/>
  </w:num>
  <w:num w:numId="7">
    <w:abstractNumId w:val="12"/>
  </w:num>
  <w:num w:numId="8">
    <w:abstractNumId w:val="0"/>
  </w:num>
  <w:num w:numId="9">
    <w:abstractNumId w:val="19"/>
  </w:num>
  <w:num w:numId="10">
    <w:abstractNumId w:val="5"/>
    <w:lvlOverride w:ilvl="0">
      <w:startOverride w:val="1"/>
    </w:lvlOverride>
  </w:num>
  <w:num w:numId="11">
    <w:abstractNumId w:val="13"/>
  </w:num>
  <w:num w:numId="12">
    <w:abstractNumId w:val="4"/>
  </w:num>
  <w:num w:numId="13">
    <w:abstractNumId w:val="2"/>
  </w:num>
  <w:num w:numId="14">
    <w:abstractNumId w:val="23"/>
  </w:num>
  <w:num w:numId="15">
    <w:abstractNumId w:val="7"/>
  </w:num>
  <w:num w:numId="16">
    <w:abstractNumId w:val="8"/>
  </w:num>
  <w:num w:numId="17">
    <w:abstractNumId w:val="21"/>
  </w:num>
  <w:num w:numId="18">
    <w:abstractNumId w:val="14"/>
  </w:num>
  <w:num w:numId="19">
    <w:abstractNumId w:val="17"/>
  </w:num>
  <w:num w:numId="20">
    <w:abstractNumId w:val="6"/>
  </w:num>
  <w:num w:numId="21">
    <w:abstractNumId w:val="1"/>
  </w:num>
  <w:num w:numId="22">
    <w:abstractNumId w:val="18"/>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73271"/>
    <w:rsid w:val="00003F7F"/>
    <w:rsid w:val="0000524D"/>
    <w:rsid w:val="000058C1"/>
    <w:rsid w:val="00006719"/>
    <w:rsid w:val="000069A2"/>
    <w:rsid w:val="0001069C"/>
    <w:rsid w:val="000107D3"/>
    <w:rsid w:val="000165A9"/>
    <w:rsid w:val="0002136E"/>
    <w:rsid w:val="00024659"/>
    <w:rsid w:val="00024824"/>
    <w:rsid w:val="0002515A"/>
    <w:rsid w:val="00025885"/>
    <w:rsid w:val="0002770A"/>
    <w:rsid w:val="000312E0"/>
    <w:rsid w:val="00040CF9"/>
    <w:rsid w:val="00044334"/>
    <w:rsid w:val="00044ADD"/>
    <w:rsid w:val="00045C5F"/>
    <w:rsid w:val="00050F78"/>
    <w:rsid w:val="00051B89"/>
    <w:rsid w:val="00053ED4"/>
    <w:rsid w:val="00057D4C"/>
    <w:rsid w:val="00060C51"/>
    <w:rsid w:val="000645C2"/>
    <w:rsid w:val="00072AF3"/>
    <w:rsid w:val="00073D98"/>
    <w:rsid w:val="000742B1"/>
    <w:rsid w:val="00076388"/>
    <w:rsid w:val="00077D0A"/>
    <w:rsid w:val="00081FBE"/>
    <w:rsid w:val="00084EC2"/>
    <w:rsid w:val="00085DDC"/>
    <w:rsid w:val="000865DB"/>
    <w:rsid w:val="000911DA"/>
    <w:rsid w:val="00092263"/>
    <w:rsid w:val="000929C4"/>
    <w:rsid w:val="00092ACD"/>
    <w:rsid w:val="000931D3"/>
    <w:rsid w:val="00093D64"/>
    <w:rsid w:val="000A10EB"/>
    <w:rsid w:val="000A4F04"/>
    <w:rsid w:val="000A64FC"/>
    <w:rsid w:val="000A6C4C"/>
    <w:rsid w:val="000B48F8"/>
    <w:rsid w:val="000B5189"/>
    <w:rsid w:val="000B7EFB"/>
    <w:rsid w:val="000C06DC"/>
    <w:rsid w:val="000C301D"/>
    <w:rsid w:val="000C4B30"/>
    <w:rsid w:val="000D02EF"/>
    <w:rsid w:val="000D2760"/>
    <w:rsid w:val="000E189A"/>
    <w:rsid w:val="000E348C"/>
    <w:rsid w:val="000E4A5C"/>
    <w:rsid w:val="001054F1"/>
    <w:rsid w:val="0010774A"/>
    <w:rsid w:val="00110C08"/>
    <w:rsid w:val="00121418"/>
    <w:rsid w:val="00121538"/>
    <w:rsid w:val="00121E65"/>
    <w:rsid w:val="00124461"/>
    <w:rsid w:val="00124569"/>
    <w:rsid w:val="0012490B"/>
    <w:rsid w:val="00126E44"/>
    <w:rsid w:val="001275AA"/>
    <w:rsid w:val="00135BC6"/>
    <w:rsid w:val="00142416"/>
    <w:rsid w:val="00151F02"/>
    <w:rsid w:val="00152FE0"/>
    <w:rsid w:val="001547F2"/>
    <w:rsid w:val="00156FF6"/>
    <w:rsid w:val="00163857"/>
    <w:rsid w:val="001677DE"/>
    <w:rsid w:val="00172FAD"/>
    <w:rsid w:val="00173E3F"/>
    <w:rsid w:val="00176BE0"/>
    <w:rsid w:val="0017798B"/>
    <w:rsid w:val="001807DD"/>
    <w:rsid w:val="00181A4B"/>
    <w:rsid w:val="001824D8"/>
    <w:rsid w:val="00182C0F"/>
    <w:rsid w:val="00186BC7"/>
    <w:rsid w:val="00197A54"/>
    <w:rsid w:val="00197F08"/>
    <w:rsid w:val="001A0E97"/>
    <w:rsid w:val="001A16A1"/>
    <w:rsid w:val="001A34F8"/>
    <w:rsid w:val="001A67C7"/>
    <w:rsid w:val="001B31F5"/>
    <w:rsid w:val="001B3D9C"/>
    <w:rsid w:val="001B4275"/>
    <w:rsid w:val="001C1F11"/>
    <w:rsid w:val="001C5C39"/>
    <w:rsid w:val="001C6F24"/>
    <w:rsid w:val="001D0ADF"/>
    <w:rsid w:val="001D1E24"/>
    <w:rsid w:val="001D7B2E"/>
    <w:rsid w:val="001E0C6C"/>
    <w:rsid w:val="001E6FF7"/>
    <w:rsid w:val="001F01FA"/>
    <w:rsid w:val="001F5A05"/>
    <w:rsid w:val="001F5B78"/>
    <w:rsid w:val="001F6025"/>
    <w:rsid w:val="00200239"/>
    <w:rsid w:val="00201707"/>
    <w:rsid w:val="0020274F"/>
    <w:rsid w:val="0020462B"/>
    <w:rsid w:val="00206F47"/>
    <w:rsid w:val="0021459B"/>
    <w:rsid w:val="00216B7A"/>
    <w:rsid w:val="00220506"/>
    <w:rsid w:val="002206AD"/>
    <w:rsid w:val="002216C9"/>
    <w:rsid w:val="002221EA"/>
    <w:rsid w:val="00223F7C"/>
    <w:rsid w:val="00224A9B"/>
    <w:rsid w:val="002266DD"/>
    <w:rsid w:val="00231283"/>
    <w:rsid w:val="00232ADB"/>
    <w:rsid w:val="00244E46"/>
    <w:rsid w:val="00247366"/>
    <w:rsid w:val="00251AAC"/>
    <w:rsid w:val="00253FBF"/>
    <w:rsid w:val="00256897"/>
    <w:rsid w:val="002624C1"/>
    <w:rsid w:val="00267000"/>
    <w:rsid w:val="002750BD"/>
    <w:rsid w:val="00275876"/>
    <w:rsid w:val="00277EDD"/>
    <w:rsid w:val="002801BA"/>
    <w:rsid w:val="00280333"/>
    <w:rsid w:val="002863B8"/>
    <w:rsid w:val="002907B3"/>
    <w:rsid w:val="00292D29"/>
    <w:rsid w:val="0029352A"/>
    <w:rsid w:val="00294D2E"/>
    <w:rsid w:val="00295F3E"/>
    <w:rsid w:val="00296E7B"/>
    <w:rsid w:val="0029785F"/>
    <w:rsid w:val="002A0A73"/>
    <w:rsid w:val="002A6F12"/>
    <w:rsid w:val="002A76D7"/>
    <w:rsid w:val="002B269A"/>
    <w:rsid w:val="002B6283"/>
    <w:rsid w:val="002C0CFD"/>
    <w:rsid w:val="002C5769"/>
    <w:rsid w:val="002D7F87"/>
    <w:rsid w:val="002E111E"/>
    <w:rsid w:val="002E2622"/>
    <w:rsid w:val="002E4CE9"/>
    <w:rsid w:val="002E697F"/>
    <w:rsid w:val="002F2EB6"/>
    <w:rsid w:val="002F7F15"/>
    <w:rsid w:val="00301A3E"/>
    <w:rsid w:val="00302E8D"/>
    <w:rsid w:val="003050D1"/>
    <w:rsid w:val="00306E56"/>
    <w:rsid w:val="00314F23"/>
    <w:rsid w:val="003213E6"/>
    <w:rsid w:val="00326CDB"/>
    <w:rsid w:val="0033077D"/>
    <w:rsid w:val="00330BDE"/>
    <w:rsid w:val="003317BD"/>
    <w:rsid w:val="00335245"/>
    <w:rsid w:val="003360A9"/>
    <w:rsid w:val="003418AC"/>
    <w:rsid w:val="0034276B"/>
    <w:rsid w:val="00344927"/>
    <w:rsid w:val="00344C9B"/>
    <w:rsid w:val="0034748E"/>
    <w:rsid w:val="00351FB8"/>
    <w:rsid w:val="00352F3D"/>
    <w:rsid w:val="00356730"/>
    <w:rsid w:val="00363739"/>
    <w:rsid w:val="00366B3E"/>
    <w:rsid w:val="00366E5C"/>
    <w:rsid w:val="0037704F"/>
    <w:rsid w:val="00377239"/>
    <w:rsid w:val="003802FF"/>
    <w:rsid w:val="0038048A"/>
    <w:rsid w:val="00383C68"/>
    <w:rsid w:val="00385A5B"/>
    <w:rsid w:val="003912CE"/>
    <w:rsid w:val="003944A1"/>
    <w:rsid w:val="003964F4"/>
    <w:rsid w:val="003A0D48"/>
    <w:rsid w:val="003A190C"/>
    <w:rsid w:val="003A5883"/>
    <w:rsid w:val="003A60D2"/>
    <w:rsid w:val="003A6CB6"/>
    <w:rsid w:val="003A6F2C"/>
    <w:rsid w:val="003B2B85"/>
    <w:rsid w:val="003B4A4C"/>
    <w:rsid w:val="003B702C"/>
    <w:rsid w:val="003C56BB"/>
    <w:rsid w:val="003C60C6"/>
    <w:rsid w:val="003C7AB5"/>
    <w:rsid w:val="003D1FB4"/>
    <w:rsid w:val="003D455C"/>
    <w:rsid w:val="003D68B0"/>
    <w:rsid w:val="003E051E"/>
    <w:rsid w:val="003E06EB"/>
    <w:rsid w:val="003E345E"/>
    <w:rsid w:val="003E3DD8"/>
    <w:rsid w:val="003F42E2"/>
    <w:rsid w:val="003F57E9"/>
    <w:rsid w:val="003F6383"/>
    <w:rsid w:val="00400E0C"/>
    <w:rsid w:val="00402AAC"/>
    <w:rsid w:val="00404AF7"/>
    <w:rsid w:val="00406EBA"/>
    <w:rsid w:val="00407DC1"/>
    <w:rsid w:val="0041049E"/>
    <w:rsid w:val="00411341"/>
    <w:rsid w:val="00411CEE"/>
    <w:rsid w:val="00413236"/>
    <w:rsid w:val="00413F36"/>
    <w:rsid w:val="00415C45"/>
    <w:rsid w:val="0042011E"/>
    <w:rsid w:val="00424849"/>
    <w:rsid w:val="00424894"/>
    <w:rsid w:val="00426CE3"/>
    <w:rsid w:val="00431F72"/>
    <w:rsid w:val="0043276E"/>
    <w:rsid w:val="004414BF"/>
    <w:rsid w:val="0044207D"/>
    <w:rsid w:val="00443533"/>
    <w:rsid w:val="00443E97"/>
    <w:rsid w:val="004505A3"/>
    <w:rsid w:val="00452874"/>
    <w:rsid w:val="00453739"/>
    <w:rsid w:val="00466A80"/>
    <w:rsid w:val="00470921"/>
    <w:rsid w:val="0047329E"/>
    <w:rsid w:val="00475C83"/>
    <w:rsid w:val="00475DA7"/>
    <w:rsid w:val="004809BA"/>
    <w:rsid w:val="0049072E"/>
    <w:rsid w:val="0049282D"/>
    <w:rsid w:val="00496AB2"/>
    <w:rsid w:val="00497BAC"/>
    <w:rsid w:val="004A12B2"/>
    <w:rsid w:val="004B08F5"/>
    <w:rsid w:val="004B5935"/>
    <w:rsid w:val="004B7477"/>
    <w:rsid w:val="004C4D92"/>
    <w:rsid w:val="004D0E1A"/>
    <w:rsid w:val="004D1441"/>
    <w:rsid w:val="004D268D"/>
    <w:rsid w:val="004D4774"/>
    <w:rsid w:val="004D65B9"/>
    <w:rsid w:val="004E22CA"/>
    <w:rsid w:val="004E30C1"/>
    <w:rsid w:val="004E4030"/>
    <w:rsid w:val="004F4739"/>
    <w:rsid w:val="004F76D4"/>
    <w:rsid w:val="00500B77"/>
    <w:rsid w:val="0050117E"/>
    <w:rsid w:val="005027CC"/>
    <w:rsid w:val="00503087"/>
    <w:rsid w:val="00507B79"/>
    <w:rsid w:val="00510351"/>
    <w:rsid w:val="0051086A"/>
    <w:rsid w:val="005139A1"/>
    <w:rsid w:val="00514C06"/>
    <w:rsid w:val="00515A3B"/>
    <w:rsid w:val="00527352"/>
    <w:rsid w:val="00527548"/>
    <w:rsid w:val="005310D7"/>
    <w:rsid w:val="00532302"/>
    <w:rsid w:val="00535552"/>
    <w:rsid w:val="00537328"/>
    <w:rsid w:val="00541788"/>
    <w:rsid w:val="00545D2B"/>
    <w:rsid w:val="00557C5F"/>
    <w:rsid w:val="005648BE"/>
    <w:rsid w:val="00574C74"/>
    <w:rsid w:val="00582F2E"/>
    <w:rsid w:val="0058303F"/>
    <w:rsid w:val="00584F02"/>
    <w:rsid w:val="0059612B"/>
    <w:rsid w:val="005A30AD"/>
    <w:rsid w:val="005A4B39"/>
    <w:rsid w:val="005A4D7B"/>
    <w:rsid w:val="005A75EF"/>
    <w:rsid w:val="005B3629"/>
    <w:rsid w:val="005B6F47"/>
    <w:rsid w:val="005C34E6"/>
    <w:rsid w:val="005C66F8"/>
    <w:rsid w:val="005E1EBA"/>
    <w:rsid w:val="005E4470"/>
    <w:rsid w:val="005E537F"/>
    <w:rsid w:val="005F1A8B"/>
    <w:rsid w:val="005F561D"/>
    <w:rsid w:val="00601746"/>
    <w:rsid w:val="0060184E"/>
    <w:rsid w:val="006018EB"/>
    <w:rsid w:val="00603862"/>
    <w:rsid w:val="0060699E"/>
    <w:rsid w:val="0061729A"/>
    <w:rsid w:val="0062432A"/>
    <w:rsid w:val="00625DAA"/>
    <w:rsid w:val="00627EB5"/>
    <w:rsid w:val="00632C1F"/>
    <w:rsid w:val="00632FB8"/>
    <w:rsid w:val="00635DCE"/>
    <w:rsid w:val="006367A6"/>
    <w:rsid w:val="0064492F"/>
    <w:rsid w:val="00647F28"/>
    <w:rsid w:val="00650FFB"/>
    <w:rsid w:val="00651394"/>
    <w:rsid w:val="006515A4"/>
    <w:rsid w:val="006609B0"/>
    <w:rsid w:val="00661B19"/>
    <w:rsid w:val="0066253A"/>
    <w:rsid w:val="00664BD8"/>
    <w:rsid w:val="00667308"/>
    <w:rsid w:val="0067195D"/>
    <w:rsid w:val="006755B5"/>
    <w:rsid w:val="0068148B"/>
    <w:rsid w:val="00681BBC"/>
    <w:rsid w:val="006825E9"/>
    <w:rsid w:val="006828B1"/>
    <w:rsid w:val="006848A5"/>
    <w:rsid w:val="00686FF6"/>
    <w:rsid w:val="00696F7C"/>
    <w:rsid w:val="006A00C6"/>
    <w:rsid w:val="006A483A"/>
    <w:rsid w:val="006A505F"/>
    <w:rsid w:val="006A66D0"/>
    <w:rsid w:val="006A712F"/>
    <w:rsid w:val="006A7A63"/>
    <w:rsid w:val="006A7E90"/>
    <w:rsid w:val="006B56C1"/>
    <w:rsid w:val="006B6619"/>
    <w:rsid w:val="006D0FFD"/>
    <w:rsid w:val="006D216C"/>
    <w:rsid w:val="006D7D4A"/>
    <w:rsid w:val="006E6567"/>
    <w:rsid w:val="006F347C"/>
    <w:rsid w:val="006F347D"/>
    <w:rsid w:val="006F43A2"/>
    <w:rsid w:val="006F4C0B"/>
    <w:rsid w:val="006F57DD"/>
    <w:rsid w:val="006F5B13"/>
    <w:rsid w:val="006F5BD7"/>
    <w:rsid w:val="006F6D10"/>
    <w:rsid w:val="00700BAF"/>
    <w:rsid w:val="00701050"/>
    <w:rsid w:val="00701B94"/>
    <w:rsid w:val="0070220F"/>
    <w:rsid w:val="0070513D"/>
    <w:rsid w:val="007121CC"/>
    <w:rsid w:val="00713338"/>
    <w:rsid w:val="007166A6"/>
    <w:rsid w:val="007205A3"/>
    <w:rsid w:val="0072362B"/>
    <w:rsid w:val="007324B8"/>
    <w:rsid w:val="00732799"/>
    <w:rsid w:val="0073508D"/>
    <w:rsid w:val="007355B4"/>
    <w:rsid w:val="00742F3B"/>
    <w:rsid w:val="00743EA3"/>
    <w:rsid w:val="00752646"/>
    <w:rsid w:val="007551FE"/>
    <w:rsid w:val="0075602E"/>
    <w:rsid w:val="00756E95"/>
    <w:rsid w:val="007663AE"/>
    <w:rsid w:val="007728E9"/>
    <w:rsid w:val="00773271"/>
    <w:rsid w:val="007743C9"/>
    <w:rsid w:val="00775AD1"/>
    <w:rsid w:val="0077659B"/>
    <w:rsid w:val="00777DE0"/>
    <w:rsid w:val="00781926"/>
    <w:rsid w:val="00782B57"/>
    <w:rsid w:val="0078317C"/>
    <w:rsid w:val="0079398F"/>
    <w:rsid w:val="007A7086"/>
    <w:rsid w:val="007B026D"/>
    <w:rsid w:val="007B22FD"/>
    <w:rsid w:val="007B7003"/>
    <w:rsid w:val="007B70EE"/>
    <w:rsid w:val="007B759C"/>
    <w:rsid w:val="007B7E23"/>
    <w:rsid w:val="007C17CD"/>
    <w:rsid w:val="007C22E3"/>
    <w:rsid w:val="007E4DE8"/>
    <w:rsid w:val="007F094F"/>
    <w:rsid w:val="007F2871"/>
    <w:rsid w:val="007F31B9"/>
    <w:rsid w:val="00802089"/>
    <w:rsid w:val="00804044"/>
    <w:rsid w:val="00804CB0"/>
    <w:rsid w:val="00806F5B"/>
    <w:rsid w:val="00811691"/>
    <w:rsid w:val="00814022"/>
    <w:rsid w:val="00816234"/>
    <w:rsid w:val="008219C0"/>
    <w:rsid w:val="00821F47"/>
    <w:rsid w:val="00830985"/>
    <w:rsid w:val="008328CA"/>
    <w:rsid w:val="008336C3"/>
    <w:rsid w:val="008375FE"/>
    <w:rsid w:val="0084001D"/>
    <w:rsid w:val="00840620"/>
    <w:rsid w:val="00842AB4"/>
    <w:rsid w:val="00846BA2"/>
    <w:rsid w:val="008502A4"/>
    <w:rsid w:val="0085656D"/>
    <w:rsid w:val="00856DC6"/>
    <w:rsid w:val="00857BC6"/>
    <w:rsid w:val="00860924"/>
    <w:rsid w:val="00860FD5"/>
    <w:rsid w:val="0086177C"/>
    <w:rsid w:val="00866E01"/>
    <w:rsid w:val="00866F1C"/>
    <w:rsid w:val="00883DBA"/>
    <w:rsid w:val="0088517C"/>
    <w:rsid w:val="0089107B"/>
    <w:rsid w:val="00892635"/>
    <w:rsid w:val="00894FCF"/>
    <w:rsid w:val="008A1677"/>
    <w:rsid w:val="008A5DDC"/>
    <w:rsid w:val="008B3F3D"/>
    <w:rsid w:val="008B4603"/>
    <w:rsid w:val="008B552E"/>
    <w:rsid w:val="008C2EFA"/>
    <w:rsid w:val="008D2A82"/>
    <w:rsid w:val="008D42D4"/>
    <w:rsid w:val="008D513B"/>
    <w:rsid w:val="008D6F6E"/>
    <w:rsid w:val="008E0B75"/>
    <w:rsid w:val="008E1BC6"/>
    <w:rsid w:val="008E7792"/>
    <w:rsid w:val="008F12DF"/>
    <w:rsid w:val="008F1318"/>
    <w:rsid w:val="008F153D"/>
    <w:rsid w:val="008F1C7A"/>
    <w:rsid w:val="00901B18"/>
    <w:rsid w:val="00904B2F"/>
    <w:rsid w:val="00905395"/>
    <w:rsid w:val="0091277F"/>
    <w:rsid w:val="009166C8"/>
    <w:rsid w:val="00931333"/>
    <w:rsid w:val="00933F92"/>
    <w:rsid w:val="00941475"/>
    <w:rsid w:val="0094373F"/>
    <w:rsid w:val="00944941"/>
    <w:rsid w:val="009531C3"/>
    <w:rsid w:val="009551F6"/>
    <w:rsid w:val="00963358"/>
    <w:rsid w:val="00973E2B"/>
    <w:rsid w:val="00974453"/>
    <w:rsid w:val="00980792"/>
    <w:rsid w:val="009824AB"/>
    <w:rsid w:val="00984ABA"/>
    <w:rsid w:val="00984F27"/>
    <w:rsid w:val="00986E52"/>
    <w:rsid w:val="00990143"/>
    <w:rsid w:val="00990BC4"/>
    <w:rsid w:val="00993159"/>
    <w:rsid w:val="009A09B4"/>
    <w:rsid w:val="009A1A29"/>
    <w:rsid w:val="009B15E4"/>
    <w:rsid w:val="009C06AD"/>
    <w:rsid w:val="009C168F"/>
    <w:rsid w:val="009C31D3"/>
    <w:rsid w:val="009C5A82"/>
    <w:rsid w:val="009E0B8B"/>
    <w:rsid w:val="009E1561"/>
    <w:rsid w:val="009E26B5"/>
    <w:rsid w:val="009F06EB"/>
    <w:rsid w:val="009F3C49"/>
    <w:rsid w:val="009F4F01"/>
    <w:rsid w:val="00A033C4"/>
    <w:rsid w:val="00A0586E"/>
    <w:rsid w:val="00A07563"/>
    <w:rsid w:val="00A134E7"/>
    <w:rsid w:val="00A16FAE"/>
    <w:rsid w:val="00A249DC"/>
    <w:rsid w:val="00A34A02"/>
    <w:rsid w:val="00A438CB"/>
    <w:rsid w:val="00A454FB"/>
    <w:rsid w:val="00A45EBC"/>
    <w:rsid w:val="00A5017C"/>
    <w:rsid w:val="00A50675"/>
    <w:rsid w:val="00A50FF0"/>
    <w:rsid w:val="00A548E5"/>
    <w:rsid w:val="00A67B08"/>
    <w:rsid w:val="00A67C38"/>
    <w:rsid w:val="00A76440"/>
    <w:rsid w:val="00A77F5D"/>
    <w:rsid w:val="00A80E10"/>
    <w:rsid w:val="00A8169E"/>
    <w:rsid w:val="00A829AB"/>
    <w:rsid w:val="00A82B9F"/>
    <w:rsid w:val="00A83BA6"/>
    <w:rsid w:val="00A8443E"/>
    <w:rsid w:val="00A847AA"/>
    <w:rsid w:val="00A84F2E"/>
    <w:rsid w:val="00A8511A"/>
    <w:rsid w:val="00A86489"/>
    <w:rsid w:val="00A91978"/>
    <w:rsid w:val="00A97371"/>
    <w:rsid w:val="00AA3D59"/>
    <w:rsid w:val="00AC313A"/>
    <w:rsid w:val="00AC4459"/>
    <w:rsid w:val="00AC4F5E"/>
    <w:rsid w:val="00AC5366"/>
    <w:rsid w:val="00AC65A7"/>
    <w:rsid w:val="00AC65B7"/>
    <w:rsid w:val="00AD139C"/>
    <w:rsid w:val="00AD3576"/>
    <w:rsid w:val="00AD37A1"/>
    <w:rsid w:val="00AD5F83"/>
    <w:rsid w:val="00AE44A3"/>
    <w:rsid w:val="00AF0F75"/>
    <w:rsid w:val="00AF3ED7"/>
    <w:rsid w:val="00AF42A3"/>
    <w:rsid w:val="00AF4E36"/>
    <w:rsid w:val="00AF56CA"/>
    <w:rsid w:val="00AF6223"/>
    <w:rsid w:val="00AF6E22"/>
    <w:rsid w:val="00B02364"/>
    <w:rsid w:val="00B036B9"/>
    <w:rsid w:val="00B03DE3"/>
    <w:rsid w:val="00B04B90"/>
    <w:rsid w:val="00B0586A"/>
    <w:rsid w:val="00B05908"/>
    <w:rsid w:val="00B16374"/>
    <w:rsid w:val="00B16586"/>
    <w:rsid w:val="00B213C8"/>
    <w:rsid w:val="00B228FF"/>
    <w:rsid w:val="00B24925"/>
    <w:rsid w:val="00B24DF2"/>
    <w:rsid w:val="00B35776"/>
    <w:rsid w:val="00B35DC9"/>
    <w:rsid w:val="00B402FC"/>
    <w:rsid w:val="00B40387"/>
    <w:rsid w:val="00B41AE3"/>
    <w:rsid w:val="00B431D4"/>
    <w:rsid w:val="00B4389F"/>
    <w:rsid w:val="00B44542"/>
    <w:rsid w:val="00B47D57"/>
    <w:rsid w:val="00B52264"/>
    <w:rsid w:val="00B60314"/>
    <w:rsid w:val="00B60618"/>
    <w:rsid w:val="00B6262D"/>
    <w:rsid w:val="00B65918"/>
    <w:rsid w:val="00B71BC2"/>
    <w:rsid w:val="00B739DC"/>
    <w:rsid w:val="00B74AB2"/>
    <w:rsid w:val="00B74C15"/>
    <w:rsid w:val="00B86E9A"/>
    <w:rsid w:val="00B87BFA"/>
    <w:rsid w:val="00B938B7"/>
    <w:rsid w:val="00B9484E"/>
    <w:rsid w:val="00BA17BE"/>
    <w:rsid w:val="00BA2890"/>
    <w:rsid w:val="00BA3CDD"/>
    <w:rsid w:val="00BA412B"/>
    <w:rsid w:val="00BB2050"/>
    <w:rsid w:val="00BB2755"/>
    <w:rsid w:val="00BB3388"/>
    <w:rsid w:val="00BB3D45"/>
    <w:rsid w:val="00BB734A"/>
    <w:rsid w:val="00BC08F9"/>
    <w:rsid w:val="00BC1983"/>
    <w:rsid w:val="00BC30E8"/>
    <w:rsid w:val="00BC5A7C"/>
    <w:rsid w:val="00BC7779"/>
    <w:rsid w:val="00BD04AE"/>
    <w:rsid w:val="00BD5C03"/>
    <w:rsid w:val="00BE25CA"/>
    <w:rsid w:val="00BE5D0E"/>
    <w:rsid w:val="00BF4CCA"/>
    <w:rsid w:val="00BF5BEE"/>
    <w:rsid w:val="00C056BE"/>
    <w:rsid w:val="00C109DB"/>
    <w:rsid w:val="00C118FE"/>
    <w:rsid w:val="00C169FE"/>
    <w:rsid w:val="00C170B1"/>
    <w:rsid w:val="00C20549"/>
    <w:rsid w:val="00C2245A"/>
    <w:rsid w:val="00C31D48"/>
    <w:rsid w:val="00C32D31"/>
    <w:rsid w:val="00C35A71"/>
    <w:rsid w:val="00C400B0"/>
    <w:rsid w:val="00C401CB"/>
    <w:rsid w:val="00C4041D"/>
    <w:rsid w:val="00C41F20"/>
    <w:rsid w:val="00C42918"/>
    <w:rsid w:val="00C436B7"/>
    <w:rsid w:val="00C44BDB"/>
    <w:rsid w:val="00C470CF"/>
    <w:rsid w:val="00C5151E"/>
    <w:rsid w:val="00C516A6"/>
    <w:rsid w:val="00C51871"/>
    <w:rsid w:val="00C522A9"/>
    <w:rsid w:val="00C53C1D"/>
    <w:rsid w:val="00C53E36"/>
    <w:rsid w:val="00C54476"/>
    <w:rsid w:val="00C56501"/>
    <w:rsid w:val="00C65DED"/>
    <w:rsid w:val="00C66A22"/>
    <w:rsid w:val="00C67095"/>
    <w:rsid w:val="00C71D9F"/>
    <w:rsid w:val="00C745F2"/>
    <w:rsid w:val="00C74A50"/>
    <w:rsid w:val="00C76256"/>
    <w:rsid w:val="00C7672C"/>
    <w:rsid w:val="00C8222B"/>
    <w:rsid w:val="00C85DF6"/>
    <w:rsid w:val="00C86D4D"/>
    <w:rsid w:val="00C92FA9"/>
    <w:rsid w:val="00CA14E5"/>
    <w:rsid w:val="00CA17B1"/>
    <w:rsid w:val="00CA377B"/>
    <w:rsid w:val="00CA3D34"/>
    <w:rsid w:val="00CA4AF5"/>
    <w:rsid w:val="00CA67F9"/>
    <w:rsid w:val="00CB075B"/>
    <w:rsid w:val="00CB10CD"/>
    <w:rsid w:val="00CB1760"/>
    <w:rsid w:val="00CB1D01"/>
    <w:rsid w:val="00CB6346"/>
    <w:rsid w:val="00CC193F"/>
    <w:rsid w:val="00CC4755"/>
    <w:rsid w:val="00CC6331"/>
    <w:rsid w:val="00CC70D8"/>
    <w:rsid w:val="00CC74FD"/>
    <w:rsid w:val="00CD43F5"/>
    <w:rsid w:val="00CD741C"/>
    <w:rsid w:val="00CE263D"/>
    <w:rsid w:val="00CE4511"/>
    <w:rsid w:val="00CE7DDB"/>
    <w:rsid w:val="00CF36B0"/>
    <w:rsid w:val="00CF46A2"/>
    <w:rsid w:val="00D0417E"/>
    <w:rsid w:val="00D06B4C"/>
    <w:rsid w:val="00D10D9F"/>
    <w:rsid w:val="00D112E3"/>
    <w:rsid w:val="00D1339A"/>
    <w:rsid w:val="00D15A27"/>
    <w:rsid w:val="00D1618E"/>
    <w:rsid w:val="00D21447"/>
    <w:rsid w:val="00D235A0"/>
    <w:rsid w:val="00D23A8A"/>
    <w:rsid w:val="00D350CB"/>
    <w:rsid w:val="00D35205"/>
    <w:rsid w:val="00D35C40"/>
    <w:rsid w:val="00D37396"/>
    <w:rsid w:val="00D407CA"/>
    <w:rsid w:val="00D41023"/>
    <w:rsid w:val="00D42393"/>
    <w:rsid w:val="00D42A8A"/>
    <w:rsid w:val="00D43A55"/>
    <w:rsid w:val="00D43AA4"/>
    <w:rsid w:val="00D52FF2"/>
    <w:rsid w:val="00D53BBA"/>
    <w:rsid w:val="00D55089"/>
    <w:rsid w:val="00D57481"/>
    <w:rsid w:val="00D60B18"/>
    <w:rsid w:val="00D63748"/>
    <w:rsid w:val="00D660EF"/>
    <w:rsid w:val="00D710B0"/>
    <w:rsid w:val="00D71CF1"/>
    <w:rsid w:val="00D723EE"/>
    <w:rsid w:val="00D72D02"/>
    <w:rsid w:val="00D730DC"/>
    <w:rsid w:val="00D7491F"/>
    <w:rsid w:val="00D7769C"/>
    <w:rsid w:val="00D82373"/>
    <w:rsid w:val="00D8443C"/>
    <w:rsid w:val="00D86A88"/>
    <w:rsid w:val="00D87B00"/>
    <w:rsid w:val="00D9032F"/>
    <w:rsid w:val="00D90971"/>
    <w:rsid w:val="00D95312"/>
    <w:rsid w:val="00D97FCF"/>
    <w:rsid w:val="00DA0F80"/>
    <w:rsid w:val="00DA68B9"/>
    <w:rsid w:val="00DA71E7"/>
    <w:rsid w:val="00DB2FE3"/>
    <w:rsid w:val="00DB7C39"/>
    <w:rsid w:val="00DB7FFB"/>
    <w:rsid w:val="00DC02C3"/>
    <w:rsid w:val="00DD0E9B"/>
    <w:rsid w:val="00DD16AB"/>
    <w:rsid w:val="00DD7A28"/>
    <w:rsid w:val="00DE0F55"/>
    <w:rsid w:val="00DE18EA"/>
    <w:rsid w:val="00DE3958"/>
    <w:rsid w:val="00DE4842"/>
    <w:rsid w:val="00DF017A"/>
    <w:rsid w:val="00DF14AB"/>
    <w:rsid w:val="00DF163F"/>
    <w:rsid w:val="00DF1B24"/>
    <w:rsid w:val="00DF1D18"/>
    <w:rsid w:val="00DF47BB"/>
    <w:rsid w:val="00DF589B"/>
    <w:rsid w:val="00E011AA"/>
    <w:rsid w:val="00E041AB"/>
    <w:rsid w:val="00E0431B"/>
    <w:rsid w:val="00E10E7E"/>
    <w:rsid w:val="00E15F44"/>
    <w:rsid w:val="00E255BB"/>
    <w:rsid w:val="00E25BB2"/>
    <w:rsid w:val="00E26799"/>
    <w:rsid w:val="00E316A5"/>
    <w:rsid w:val="00E34E6D"/>
    <w:rsid w:val="00E36402"/>
    <w:rsid w:val="00E37B97"/>
    <w:rsid w:val="00E40D97"/>
    <w:rsid w:val="00E41E3C"/>
    <w:rsid w:val="00E42BB4"/>
    <w:rsid w:val="00E4314E"/>
    <w:rsid w:val="00E51EDF"/>
    <w:rsid w:val="00E53EAC"/>
    <w:rsid w:val="00E5431E"/>
    <w:rsid w:val="00E61EDC"/>
    <w:rsid w:val="00E71AD3"/>
    <w:rsid w:val="00E73050"/>
    <w:rsid w:val="00E73DC8"/>
    <w:rsid w:val="00E7406B"/>
    <w:rsid w:val="00E747D1"/>
    <w:rsid w:val="00E7761F"/>
    <w:rsid w:val="00E800E9"/>
    <w:rsid w:val="00E82053"/>
    <w:rsid w:val="00E83372"/>
    <w:rsid w:val="00E8357F"/>
    <w:rsid w:val="00E8522B"/>
    <w:rsid w:val="00E86DAC"/>
    <w:rsid w:val="00E9512F"/>
    <w:rsid w:val="00E9593F"/>
    <w:rsid w:val="00E97C60"/>
    <w:rsid w:val="00EA09B8"/>
    <w:rsid w:val="00EA0A1F"/>
    <w:rsid w:val="00EA17F3"/>
    <w:rsid w:val="00EA3709"/>
    <w:rsid w:val="00EA5FCD"/>
    <w:rsid w:val="00EA75C9"/>
    <w:rsid w:val="00EB0E7E"/>
    <w:rsid w:val="00EB1A2A"/>
    <w:rsid w:val="00EB2B11"/>
    <w:rsid w:val="00EB7B78"/>
    <w:rsid w:val="00EC576A"/>
    <w:rsid w:val="00EC6CF2"/>
    <w:rsid w:val="00EC7990"/>
    <w:rsid w:val="00ED39EE"/>
    <w:rsid w:val="00ED5EB4"/>
    <w:rsid w:val="00ED7453"/>
    <w:rsid w:val="00EE2B4E"/>
    <w:rsid w:val="00EE729D"/>
    <w:rsid w:val="00EE744F"/>
    <w:rsid w:val="00EE7B85"/>
    <w:rsid w:val="00EF0471"/>
    <w:rsid w:val="00EF51B5"/>
    <w:rsid w:val="00EF60C0"/>
    <w:rsid w:val="00EF6550"/>
    <w:rsid w:val="00F007EC"/>
    <w:rsid w:val="00F02527"/>
    <w:rsid w:val="00F04E96"/>
    <w:rsid w:val="00F064B6"/>
    <w:rsid w:val="00F12E99"/>
    <w:rsid w:val="00F152E0"/>
    <w:rsid w:val="00F16ABC"/>
    <w:rsid w:val="00F17672"/>
    <w:rsid w:val="00F20C44"/>
    <w:rsid w:val="00F21DC4"/>
    <w:rsid w:val="00F22E28"/>
    <w:rsid w:val="00F24A50"/>
    <w:rsid w:val="00F2599E"/>
    <w:rsid w:val="00F2789D"/>
    <w:rsid w:val="00F3244C"/>
    <w:rsid w:val="00F3284B"/>
    <w:rsid w:val="00F34ADE"/>
    <w:rsid w:val="00F356C4"/>
    <w:rsid w:val="00F406AD"/>
    <w:rsid w:val="00F45FB9"/>
    <w:rsid w:val="00F47C50"/>
    <w:rsid w:val="00F51BE2"/>
    <w:rsid w:val="00F52B44"/>
    <w:rsid w:val="00F60A7E"/>
    <w:rsid w:val="00F60CE3"/>
    <w:rsid w:val="00F6293B"/>
    <w:rsid w:val="00F73B1E"/>
    <w:rsid w:val="00F7409A"/>
    <w:rsid w:val="00F74702"/>
    <w:rsid w:val="00F747EA"/>
    <w:rsid w:val="00F83BA9"/>
    <w:rsid w:val="00F84700"/>
    <w:rsid w:val="00F84D8E"/>
    <w:rsid w:val="00F8672F"/>
    <w:rsid w:val="00F916D2"/>
    <w:rsid w:val="00F92A28"/>
    <w:rsid w:val="00F95BE7"/>
    <w:rsid w:val="00F95FDF"/>
    <w:rsid w:val="00F960CA"/>
    <w:rsid w:val="00F9761F"/>
    <w:rsid w:val="00FA1241"/>
    <w:rsid w:val="00FA1DB9"/>
    <w:rsid w:val="00FA3F04"/>
    <w:rsid w:val="00FB0E98"/>
    <w:rsid w:val="00FB2863"/>
    <w:rsid w:val="00FB33B4"/>
    <w:rsid w:val="00FB6B5B"/>
    <w:rsid w:val="00FC240C"/>
    <w:rsid w:val="00FC4126"/>
    <w:rsid w:val="00FC4667"/>
    <w:rsid w:val="00FC6189"/>
    <w:rsid w:val="00FD0E3F"/>
    <w:rsid w:val="00FD633D"/>
    <w:rsid w:val="00FD72AA"/>
    <w:rsid w:val="00FE27B1"/>
    <w:rsid w:val="00FE3B22"/>
    <w:rsid w:val="00FE5C07"/>
    <w:rsid w:val="00FF05DE"/>
    <w:rsid w:val="00FF1284"/>
    <w:rsid w:val="01303AC5"/>
    <w:rsid w:val="026B6FFC"/>
    <w:rsid w:val="09703DF5"/>
    <w:rsid w:val="0A137614"/>
    <w:rsid w:val="0B0A0C81"/>
    <w:rsid w:val="0DB84B9F"/>
    <w:rsid w:val="10306A36"/>
    <w:rsid w:val="15F958DA"/>
    <w:rsid w:val="1E73298A"/>
    <w:rsid w:val="20E74676"/>
    <w:rsid w:val="218E3635"/>
    <w:rsid w:val="22F23082"/>
    <w:rsid w:val="2CC40A7D"/>
    <w:rsid w:val="30AD1936"/>
    <w:rsid w:val="311E756B"/>
    <w:rsid w:val="35187544"/>
    <w:rsid w:val="371A41D8"/>
    <w:rsid w:val="380A298F"/>
    <w:rsid w:val="38BA715A"/>
    <w:rsid w:val="3A4A77DA"/>
    <w:rsid w:val="41FA2FE5"/>
    <w:rsid w:val="441B0ABA"/>
    <w:rsid w:val="464D59DF"/>
    <w:rsid w:val="48130A56"/>
    <w:rsid w:val="4BF34275"/>
    <w:rsid w:val="4D0B3DAF"/>
    <w:rsid w:val="4ECE7F12"/>
    <w:rsid w:val="50F75539"/>
    <w:rsid w:val="50F91875"/>
    <w:rsid w:val="530C45E3"/>
    <w:rsid w:val="571A280E"/>
    <w:rsid w:val="584D697A"/>
    <w:rsid w:val="58F710E2"/>
    <w:rsid w:val="59EF1B9B"/>
    <w:rsid w:val="5DEF3AA9"/>
    <w:rsid w:val="5F737F76"/>
    <w:rsid w:val="639434C9"/>
    <w:rsid w:val="639A6381"/>
    <w:rsid w:val="63AE0487"/>
    <w:rsid w:val="67882A09"/>
    <w:rsid w:val="67EF4774"/>
    <w:rsid w:val="6B715F99"/>
    <w:rsid w:val="6C3827FE"/>
    <w:rsid w:val="70F0045C"/>
    <w:rsid w:val="7841622D"/>
    <w:rsid w:val="7B04153B"/>
    <w:rsid w:val="7B610A2B"/>
    <w:rsid w:val="7C064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36"/>
    <w:qFormat/>
    <w:uiPriority w:val="0"/>
    <w:pPr>
      <w:keepNext/>
      <w:keepLines/>
      <w:spacing w:line="360" w:lineRule="auto"/>
      <w:jc w:val="center"/>
      <w:outlineLvl w:val="0"/>
    </w:pPr>
    <w:rPr>
      <w:b/>
      <w:bCs/>
      <w:kern w:val="44"/>
      <w:sz w:val="44"/>
      <w:szCs w:val="44"/>
    </w:rPr>
  </w:style>
  <w:style w:type="paragraph" w:styleId="2">
    <w:name w:val="heading 2"/>
    <w:basedOn w:val="1"/>
    <w:next w:val="1"/>
    <w:link w:val="46"/>
    <w:qFormat/>
    <w:uiPriority w:val="0"/>
    <w:pPr>
      <w:keepNext/>
      <w:keepLines/>
      <w:widowControl w:val="0"/>
      <w:spacing w:before="20" w:after="20" w:line="360" w:lineRule="auto"/>
      <w:outlineLvl w:val="1"/>
    </w:pPr>
    <w:rPr>
      <w:rFonts w:ascii="Arial" w:hAnsi="Arial"/>
      <w:b/>
      <w:bCs/>
      <w:kern w:val="2"/>
      <w:sz w:val="36"/>
      <w:szCs w:val="32"/>
    </w:rPr>
  </w:style>
  <w:style w:type="paragraph" w:styleId="4">
    <w:name w:val="heading 3"/>
    <w:basedOn w:val="1"/>
    <w:next w:val="5"/>
    <w:link w:val="38"/>
    <w:qFormat/>
    <w:uiPriority w:val="0"/>
    <w:pPr>
      <w:keepNext/>
      <w:keepLines/>
      <w:widowControl w:val="0"/>
      <w:tabs>
        <w:tab w:val="left" w:pos="2126"/>
      </w:tabs>
      <w:spacing w:before="20" w:after="20" w:line="415" w:lineRule="auto"/>
      <w:ind w:left="1701"/>
      <w:outlineLvl w:val="2"/>
    </w:pPr>
    <w:rPr>
      <w:b/>
      <w:color w:val="0000FF"/>
      <w:kern w:val="2"/>
      <w:sz w:val="32"/>
      <w:szCs w:val="20"/>
    </w:rPr>
  </w:style>
  <w:style w:type="paragraph" w:styleId="6">
    <w:name w:val="heading 4"/>
    <w:basedOn w:val="1"/>
    <w:next w:val="1"/>
    <w:link w:val="39"/>
    <w:qFormat/>
    <w:uiPriority w:val="0"/>
    <w:pPr>
      <w:keepNext/>
      <w:keepLines/>
      <w:widowControl w:val="0"/>
      <w:tabs>
        <w:tab w:val="left" w:pos="2976"/>
      </w:tabs>
      <w:spacing w:before="280" w:after="290" w:line="374" w:lineRule="auto"/>
      <w:ind w:left="2551"/>
      <w:jc w:val="both"/>
      <w:outlineLvl w:val="3"/>
    </w:pPr>
    <w:rPr>
      <w:rFonts w:ascii="Arial" w:hAnsi="Arial" w:eastAsia="黑体"/>
      <w:b/>
      <w:color w:val="0000FF"/>
      <w:kern w:val="2"/>
      <w:sz w:val="28"/>
      <w:szCs w:val="20"/>
    </w:rPr>
  </w:style>
  <w:style w:type="paragraph" w:styleId="7">
    <w:name w:val="heading 5"/>
    <w:basedOn w:val="1"/>
    <w:next w:val="5"/>
    <w:link w:val="40"/>
    <w:qFormat/>
    <w:uiPriority w:val="0"/>
    <w:pPr>
      <w:keepNext/>
      <w:keepLines/>
      <w:widowControl w:val="0"/>
      <w:tabs>
        <w:tab w:val="left" w:pos="3827"/>
      </w:tabs>
      <w:spacing w:before="280" w:after="290" w:line="374" w:lineRule="auto"/>
      <w:ind w:left="3402"/>
      <w:jc w:val="both"/>
      <w:outlineLvl w:val="4"/>
    </w:pPr>
    <w:rPr>
      <w:b/>
      <w:color w:val="0000FF"/>
      <w:kern w:val="2"/>
      <w:sz w:val="28"/>
      <w:szCs w:val="20"/>
    </w:rPr>
  </w:style>
  <w:style w:type="paragraph" w:styleId="8">
    <w:name w:val="heading 6"/>
    <w:basedOn w:val="1"/>
    <w:next w:val="5"/>
    <w:link w:val="41"/>
    <w:qFormat/>
    <w:uiPriority w:val="0"/>
    <w:pPr>
      <w:keepNext/>
      <w:keepLines/>
      <w:widowControl w:val="0"/>
      <w:tabs>
        <w:tab w:val="left" w:pos="4677"/>
      </w:tabs>
      <w:spacing w:before="240" w:after="64" w:line="319" w:lineRule="auto"/>
      <w:ind w:left="4252"/>
      <w:jc w:val="both"/>
      <w:outlineLvl w:val="5"/>
    </w:pPr>
    <w:rPr>
      <w:rFonts w:ascii="Arial" w:hAnsi="Arial" w:eastAsia="黑体"/>
      <w:b/>
      <w:color w:val="0000FF"/>
      <w:kern w:val="2"/>
      <w:szCs w:val="20"/>
    </w:rPr>
  </w:style>
  <w:style w:type="paragraph" w:styleId="9">
    <w:name w:val="heading 7"/>
    <w:basedOn w:val="1"/>
    <w:next w:val="5"/>
    <w:link w:val="42"/>
    <w:qFormat/>
    <w:uiPriority w:val="0"/>
    <w:pPr>
      <w:keepNext/>
      <w:keepLines/>
      <w:widowControl w:val="0"/>
      <w:tabs>
        <w:tab w:val="left" w:pos="5528"/>
      </w:tabs>
      <w:spacing w:before="240" w:after="64" w:line="319" w:lineRule="auto"/>
      <w:ind w:left="5102"/>
      <w:jc w:val="both"/>
      <w:outlineLvl w:val="6"/>
    </w:pPr>
    <w:rPr>
      <w:b/>
      <w:color w:val="0000FF"/>
      <w:kern w:val="2"/>
      <w:szCs w:val="20"/>
    </w:rPr>
  </w:style>
  <w:style w:type="paragraph" w:styleId="10">
    <w:name w:val="heading 8"/>
    <w:basedOn w:val="1"/>
    <w:next w:val="5"/>
    <w:link w:val="43"/>
    <w:qFormat/>
    <w:uiPriority w:val="0"/>
    <w:pPr>
      <w:keepNext/>
      <w:keepLines/>
      <w:widowControl w:val="0"/>
      <w:tabs>
        <w:tab w:val="left" w:pos="6378"/>
      </w:tabs>
      <w:spacing w:before="240" w:after="64" w:line="319" w:lineRule="auto"/>
      <w:ind w:left="5953"/>
      <w:jc w:val="both"/>
      <w:outlineLvl w:val="7"/>
    </w:pPr>
    <w:rPr>
      <w:rFonts w:ascii="Arial" w:hAnsi="Arial" w:eastAsia="黑体"/>
      <w:color w:val="0000FF"/>
      <w:kern w:val="2"/>
      <w:szCs w:val="20"/>
    </w:rPr>
  </w:style>
  <w:style w:type="paragraph" w:styleId="11">
    <w:name w:val="heading 9"/>
    <w:basedOn w:val="1"/>
    <w:next w:val="5"/>
    <w:link w:val="44"/>
    <w:qFormat/>
    <w:uiPriority w:val="0"/>
    <w:pPr>
      <w:keepNext/>
      <w:keepLines/>
      <w:widowControl w:val="0"/>
      <w:tabs>
        <w:tab w:val="left" w:pos="7228"/>
      </w:tabs>
      <w:spacing w:before="240" w:after="64" w:line="319" w:lineRule="auto"/>
      <w:ind w:left="6803"/>
      <w:jc w:val="both"/>
      <w:outlineLvl w:val="8"/>
    </w:pPr>
    <w:rPr>
      <w:rFonts w:ascii="Arial" w:hAnsi="Arial" w:eastAsia="黑体"/>
      <w:color w:val="0000FF"/>
      <w:kern w:val="2"/>
      <w:sz w:val="21"/>
      <w:szCs w:val="20"/>
    </w:rPr>
  </w:style>
  <w:style w:type="character" w:default="1" w:styleId="29">
    <w:name w:val="Default Paragraph Font"/>
    <w:unhideWhenUsed/>
    <w:qFormat/>
    <w:uiPriority w:val="1"/>
  </w:style>
  <w:style w:type="table" w:default="1" w:styleId="28">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ind w:firstLine="420"/>
      <w:jc w:val="both"/>
    </w:pPr>
    <w:rPr>
      <w:color w:val="0000FF"/>
      <w:kern w:val="2"/>
      <w:sz w:val="28"/>
      <w:szCs w:val="20"/>
    </w:rPr>
  </w:style>
  <w:style w:type="paragraph" w:styleId="12">
    <w:name w:val="Document Map"/>
    <w:basedOn w:val="1"/>
    <w:link w:val="45"/>
    <w:unhideWhenUsed/>
    <w:qFormat/>
    <w:uiPriority w:val="99"/>
    <w:rPr>
      <w:rFonts w:ascii="宋体" w:hAnsiTheme="minorHAnsi" w:eastAsiaTheme="minorEastAsia" w:cstheme="minorBidi"/>
      <w:kern w:val="2"/>
      <w:sz w:val="18"/>
      <w:szCs w:val="18"/>
    </w:rPr>
  </w:style>
  <w:style w:type="paragraph" w:styleId="13">
    <w:name w:val="annotation text"/>
    <w:basedOn w:val="1"/>
    <w:link w:val="47"/>
    <w:unhideWhenUsed/>
    <w:qFormat/>
    <w:uiPriority w:val="0"/>
  </w:style>
  <w:style w:type="paragraph" w:styleId="14">
    <w:name w:val="Body Text"/>
    <w:basedOn w:val="1"/>
    <w:link w:val="57"/>
    <w:qFormat/>
    <w:uiPriority w:val="0"/>
    <w:pPr>
      <w:widowControl w:val="0"/>
      <w:jc w:val="both"/>
    </w:pPr>
    <w:rPr>
      <w:color w:val="0000FF"/>
      <w:kern w:val="2"/>
      <w:sz w:val="28"/>
      <w:szCs w:val="20"/>
    </w:rPr>
  </w:style>
  <w:style w:type="paragraph" w:styleId="15">
    <w:name w:val="Body Text Indent"/>
    <w:basedOn w:val="1"/>
    <w:link w:val="55"/>
    <w:qFormat/>
    <w:uiPriority w:val="0"/>
    <w:pPr>
      <w:widowControl w:val="0"/>
      <w:ind w:left="840"/>
      <w:jc w:val="both"/>
    </w:pPr>
    <w:rPr>
      <w:rFonts w:ascii="宋体"/>
      <w:color w:val="0000FF"/>
      <w:kern w:val="2"/>
      <w:sz w:val="28"/>
      <w:szCs w:val="20"/>
    </w:rPr>
  </w:style>
  <w:style w:type="paragraph" w:styleId="16">
    <w:name w:val="Plain Text"/>
    <w:basedOn w:val="1"/>
    <w:link w:val="51"/>
    <w:qFormat/>
    <w:uiPriority w:val="0"/>
    <w:pPr>
      <w:widowControl w:val="0"/>
      <w:jc w:val="both"/>
    </w:pPr>
    <w:rPr>
      <w:kern w:val="2"/>
      <w:szCs w:val="20"/>
    </w:rPr>
  </w:style>
  <w:style w:type="paragraph" w:styleId="17">
    <w:name w:val="Date"/>
    <w:basedOn w:val="1"/>
    <w:next w:val="1"/>
    <w:link w:val="54"/>
    <w:qFormat/>
    <w:uiPriority w:val="0"/>
    <w:pPr>
      <w:widowControl w:val="0"/>
      <w:jc w:val="both"/>
    </w:pPr>
    <w:rPr>
      <w:color w:val="0000FF"/>
      <w:kern w:val="2"/>
      <w:sz w:val="28"/>
      <w:szCs w:val="20"/>
    </w:rPr>
  </w:style>
  <w:style w:type="paragraph" w:styleId="18">
    <w:name w:val="Body Text Indent 2"/>
    <w:basedOn w:val="1"/>
    <w:link w:val="53"/>
    <w:qFormat/>
    <w:uiPriority w:val="0"/>
    <w:pPr>
      <w:spacing w:line="360" w:lineRule="atLeast"/>
      <w:ind w:firstLine="480" w:firstLineChars="200"/>
      <w:outlineLvl w:val="0"/>
    </w:pPr>
    <w:rPr>
      <w:rFonts w:ascii="宋体" w:hAnsi="宋体"/>
      <w:color w:val="000000"/>
    </w:rPr>
  </w:style>
  <w:style w:type="paragraph" w:styleId="19">
    <w:name w:val="Balloon Text"/>
    <w:basedOn w:val="1"/>
    <w:link w:val="50"/>
    <w:qFormat/>
    <w:uiPriority w:val="0"/>
    <w:rPr>
      <w:sz w:val="18"/>
      <w:szCs w:val="18"/>
    </w:rPr>
  </w:style>
  <w:style w:type="paragraph" w:styleId="20">
    <w:name w:val="footer"/>
    <w:basedOn w:val="1"/>
    <w:link w:val="35"/>
    <w:unhideWhenUsed/>
    <w:qFormat/>
    <w:uiPriority w:val="99"/>
    <w:pPr>
      <w:tabs>
        <w:tab w:val="center" w:pos="4153"/>
        <w:tab w:val="right" w:pos="8306"/>
      </w:tabs>
      <w:snapToGrid w:val="0"/>
    </w:pPr>
    <w:rPr>
      <w:sz w:val="18"/>
      <w:szCs w:val="18"/>
    </w:rPr>
  </w:style>
  <w:style w:type="paragraph" w:styleId="21">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Body Text Indent 3"/>
    <w:basedOn w:val="1"/>
    <w:link w:val="49"/>
    <w:qFormat/>
    <w:uiPriority w:val="0"/>
    <w:pPr>
      <w:ind w:firstLine="476" w:firstLineChars="200"/>
    </w:pPr>
    <w:rPr>
      <w:rFonts w:ascii="宋体" w:hAnsi="宋体"/>
      <w:bCs/>
      <w:color w:val="000000"/>
      <w:spacing w:val="-2"/>
    </w:rPr>
  </w:style>
  <w:style w:type="paragraph" w:styleId="24">
    <w:name w:val="toc 2"/>
    <w:basedOn w:val="1"/>
    <w:next w:val="1"/>
    <w:unhideWhenUsed/>
    <w:qFormat/>
    <w:uiPriority w:val="39"/>
    <w:pPr>
      <w:tabs>
        <w:tab w:val="right" w:leader="dot" w:pos="9628"/>
      </w:tabs>
      <w:spacing w:line="480" w:lineRule="auto"/>
      <w:jc w:val="both"/>
    </w:pPr>
    <w:rPr>
      <w:rFonts w:asciiTheme="minorEastAsia" w:hAnsiTheme="minorEastAsia" w:eastAsiaTheme="minorEastAsia"/>
      <w:b/>
    </w:rPr>
  </w:style>
  <w:style w:type="paragraph" w:styleId="25">
    <w:name w:val="HTML Preformatted"/>
    <w:basedOn w:val="1"/>
    <w:link w:val="5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rPr>
  </w:style>
  <w:style w:type="paragraph" w:styleId="26">
    <w:name w:val="Normal (Web)"/>
    <w:basedOn w:val="1"/>
    <w:qFormat/>
    <w:uiPriority w:val="99"/>
    <w:pPr>
      <w:spacing w:before="100" w:beforeAutospacing="1" w:after="100" w:afterAutospacing="1"/>
    </w:pPr>
    <w:rPr>
      <w:rFonts w:ascii="宋体" w:hAnsi="宋体" w:cs="宋体"/>
    </w:rPr>
  </w:style>
  <w:style w:type="paragraph" w:styleId="27">
    <w:name w:val="annotation subject"/>
    <w:basedOn w:val="13"/>
    <w:next w:val="13"/>
    <w:link w:val="48"/>
    <w:qFormat/>
    <w:uiPriority w:val="0"/>
    <w:rPr>
      <w:b/>
      <w:bCs/>
    </w:rPr>
  </w:style>
  <w:style w:type="character" w:styleId="30">
    <w:name w:val="page number"/>
    <w:basedOn w:val="29"/>
    <w:qFormat/>
    <w:uiPriority w:val="0"/>
  </w:style>
  <w:style w:type="character" w:styleId="31">
    <w:name w:val="FollowedHyperlink"/>
    <w:qFormat/>
    <w:uiPriority w:val="0"/>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页眉 Char"/>
    <w:basedOn w:val="29"/>
    <w:link w:val="21"/>
    <w:semiHidden/>
    <w:qFormat/>
    <w:uiPriority w:val="99"/>
    <w:rPr>
      <w:sz w:val="18"/>
      <w:szCs w:val="18"/>
    </w:rPr>
  </w:style>
  <w:style w:type="character" w:customStyle="1" w:styleId="35">
    <w:name w:val="页脚 Char"/>
    <w:basedOn w:val="29"/>
    <w:link w:val="20"/>
    <w:qFormat/>
    <w:uiPriority w:val="99"/>
    <w:rPr>
      <w:sz w:val="18"/>
      <w:szCs w:val="18"/>
    </w:rPr>
  </w:style>
  <w:style w:type="character" w:customStyle="1" w:styleId="36">
    <w:name w:val="标题 1 Char"/>
    <w:basedOn w:val="29"/>
    <w:link w:val="3"/>
    <w:qFormat/>
    <w:uiPriority w:val="0"/>
    <w:rPr>
      <w:rFonts w:ascii="Times New Roman" w:hAnsi="Times New Roman" w:eastAsia="宋体" w:cs="Times New Roman"/>
      <w:b/>
      <w:bCs/>
      <w:kern w:val="44"/>
      <w:sz w:val="44"/>
      <w:szCs w:val="44"/>
    </w:rPr>
  </w:style>
  <w:style w:type="character" w:customStyle="1" w:styleId="37">
    <w:name w:val="标题 2 Char"/>
    <w:basedOn w:val="29"/>
    <w:semiHidden/>
    <w:qFormat/>
    <w:uiPriority w:val="9"/>
    <w:rPr>
      <w:rFonts w:asciiTheme="majorHAnsi" w:hAnsiTheme="majorHAnsi" w:eastAsiaTheme="majorEastAsia" w:cstheme="majorBidi"/>
      <w:b/>
      <w:bCs/>
      <w:kern w:val="0"/>
      <w:sz w:val="32"/>
      <w:szCs w:val="32"/>
    </w:rPr>
  </w:style>
  <w:style w:type="character" w:customStyle="1" w:styleId="38">
    <w:name w:val="标题 3 Char"/>
    <w:basedOn w:val="29"/>
    <w:link w:val="4"/>
    <w:qFormat/>
    <w:uiPriority w:val="0"/>
    <w:rPr>
      <w:rFonts w:ascii="Times New Roman" w:hAnsi="Times New Roman" w:eastAsia="宋体" w:cs="Times New Roman"/>
      <w:b/>
      <w:color w:val="0000FF"/>
      <w:sz w:val="32"/>
      <w:szCs w:val="20"/>
    </w:rPr>
  </w:style>
  <w:style w:type="character" w:customStyle="1" w:styleId="39">
    <w:name w:val="标题 4 Char"/>
    <w:basedOn w:val="29"/>
    <w:link w:val="6"/>
    <w:qFormat/>
    <w:uiPriority w:val="0"/>
    <w:rPr>
      <w:rFonts w:ascii="Arial" w:hAnsi="Arial" w:eastAsia="黑体" w:cs="Times New Roman"/>
      <w:b/>
      <w:color w:val="0000FF"/>
      <w:sz w:val="28"/>
      <w:szCs w:val="20"/>
    </w:rPr>
  </w:style>
  <w:style w:type="character" w:customStyle="1" w:styleId="40">
    <w:name w:val="标题 5 Char"/>
    <w:basedOn w:val="29"/>
    <w:link w:val="7"/>
    <w:qFormat/>
    <w:uiPriority w:val="0"/>
    <w:rPr>
      <w:rFonts w:ascii="Times New Roman" w:hAnsi="Times New Roman" w:eastAsia="宋体" w:cs="Times New Roman"/>
      <w:b/>
      <w:color w:val="0000FF"/>
      <w:sz w:val="28"/>
      <w:szCs w:val="20"/>
    </w:rPr>
  </w:style>
  <w:style w:type="character" w:customStyle="1" w:styleId="41">
    <w:name w:val="标题 6 Char"/>
    <w:basedOn w:val="29"/>
    <w:link w:val="8"/>
    <w:qFormat/>
    <w:uiPriority w:val="0"/>
    <w:rPr>
      <w:rFonts w:ascii="Arial" w:hAnsi="Arial" w:eastAsia="黑体" w:cs="Times New Roman"/>
      <w:b/>
      <w:color w:val="0000FF"/>
      <w:sz w:val="24"/>
      <w:szCs w:val="20"/>
    </w:rPr>
  </w:style>
  <w:style w:type="character" w:customStyle="1" w:styleId="42">
    <w:name w:val="标题 7 Char"/>
    <w:basedOn w:val="29"/>
    <w:link w:val="9"/>
    <w:qFormat/>
    <w:uiPriority w:val="0"/>
    <w:rPr>
      <w:rFonts w:ascii="Times New Roman" w:hAnsi="Times New Roman" w:eastAsia="宋体" w:cs="Times New Roman"/>
      <w:b/>
      <w:color w:val="0000FF"/>
      <w:sz w:val="24"/>
      <w:szCs w:val="20"/>
    </w:rPr>
  </w:style>
  <w:style w:type="character" w:customStyle="1" w:styleId="43">
    <w:name w:val="标题 8 Char"/>
    <w:basedOn w:val="29"/>
    <w:link w:val="10"/>
    <w:qFormat/>
    <w:uiPriority w:val="0"/>
    <w:rPr>
      <w:rFonts w:ascii="Arial" w:hAnsi="Arial" w:eastAsia="黑体" w:cs="Times New Roman"/>
      <w:color w:val="0000FF"/>
      <w:sz w:val="24"/>
      <w:szCs w:val="20"/>
    </w:rPr>
  </w:style>
  <w:style w:type="character" w:customStyle="1" w:styleId="44">
    <w:name w:val="标题 9 Char"/>
    <w:basedOn w:val="29"/>
    <w:link w:val="11"/>
    <w:qFormat/>
    <w:uiPriority w:val="0"/>
    <w:rPr>
      <w:rFonts w:ascii="Arial" w:hAnsi="Arial" w:eastAsia="黑体" w:cs="Times New Roman"/>
      <w:color w:val="0000FF"/>
      <w:szCs w:val="20"/>
    </w:rPr>
  </w:style>
  <w:style w:type="character" w:customStyle="1" w:styleId="45">
    <w:name w:val="文档结构图 Char1"/>
    <w:link w:val="12"/>
    <w:qFormat/>
    <w:uiPriority w:val="99"/>
    <w:rPr>
      <w:rFonts w:ascii="宋体"/>
      <w:sz w:val="18"/>
      <w:szCs w:val="18"/>
    </w:rPr>
  </w:style>
  <w:style w:type="character" w:customStyle="1" w:styleId="46">
    <w:name w:val="标题 2 Char1"/>
    <w:link w:val="2"/>
    <w:qFormat/>
    <w:uiPriority w:val="0"/>
    <w:rPr>
      <w:rFonts w:ascii="Arial" w:hAnsi="Arial" w:eastAsia="宋体" w:cs="Times New Roman"/>
      <w:b/>
      <w:bCs/>
      <w:sz w:val="36"/>
      <w:szCs w:val="32"/>
    </w:rPr>
  </w:style>
  <w:style w:type="character" w:customStyle="1" w:styleId="47">
    <w:name w:val="批注文字 Char"/>
    <w:basedOn w:val="29"/>
    <w:link w:val="13"/>
    <w:qFormat/>
    <w:uiPriority w:val="0"/>
    <w:rPr>
      <w:rFonts w:ascii="Times New Roman" w:hAnsi="Times New Roman" w:eastAsia="宋体" w:cs="Times New Roman"/>
      <w:kern w:val="0"/>
      <w:sz w:val="24"/>
      <w:szCs w:val="24"/>
    </w:rPr>
  </w:style>
  <w:style w:type="character" w:customStyle="1" w:styleId="48">
    <w:name w:val="批注主题 Char"/>
    <w:basedOn w:val="47"/>
    <w:link w:val="27"/>
    <w:qFormat/>
    <w:uiPriority w:val="0"/>
    <w:rPr>
      <w:rFonts w:ascii="Times New Roman" w:hAnsi="Times New Roman" w:eastAsia="宋体" w:cs="Times New Roman"/>
      <w:b/>
      <w:bCs/>
      <w:kern w:val="0"/>
      <w:sz w:val="24"/>
      <w:szCs w:val="24"/>
    </w:rPr>
  </w:style>
  <w:style w:type="character" w:customStyle="1" w:styleId="49">
    <w:name w:val="正文文本缩进 3 Char"/>
    <w:basedOn w:val="29"/>
    <w:link w:val="23"/>
    <w:qFormat/>
    <w:uiPriority w:val="0"/>
    <w:rPr>
      <w:rFonts w:ascii="宋体" w:hAnsi="宋体" w:eastAsia="宋体" w:cs="Times New Roman"/>
      <w:bCs/>
      <w:color w:val="000000"/>
      <w:spacing w:val="-2"/>
      <w:kern w:val="0"/>
      <w:sz w:val="24"/>
      <w:szCs w:val="24"/>
    </w:rPr>
  </w:style>
  <w:style w:type="character" w:customStyle="1" w:styleId="50">
    <w:name w:val="批注框文本 Char"/>
    <w:basedOn w:val="29"/>
    <w:link w:val="19"/>
    <w:qFormat/>
    <w:uiPriority w:val="0"/>
    <w:rPr>
      <w:rFonts w:ascii="Times New Roman" w:hAnsi="Times New Roman" w:eastAsia="宋体" w:cs="Times New Roman"/>
      <w:kern w:val="0"/>
      <w:sz w:val="18"/>
      <w:szCs w:val="18"/>
    </w:rPr>
  </w:style>
  <w:style w:type="character" w:customStyle="1" w:styleId="51">
    <w:name w:val="纯文本 Char"/>
    <w:basedOn w:val="29"/>
    <w:link w:val="16"/>
    <w:qFormat/>
    <w:uiPriority w:val="0"/>
    <w:rPr>
      <w:rFonts w:ascii="Times New Roman" w:hAnsi="Times New Roman" w:eastAsia="宋体" w:cs="Times New Roman"/>
      <w:sz w:val="24"/>
      <w:szCs w:val="20"/>
    </w:rPr>
  </w:style>
  <w:style w:type="paragraph" w:customStyle="1" w:styleId="52">
    <w:name w:val="_Style 40"/>
    <w:basedOn w:val="1"/>
    <w:next w:val="1"/>
    <w:qFormat/>
    <w:uiPriority w:val="39"/>
    <w:pPr>
      <w:tabs>
        <w:tab w:val="right" w:leader="dot" w:pos="9289"/>
      </w:tabs>
      <w:spacing w:line="600" w:lineRule="auto"/>
      <w:ind w:left="480" w:leftChars="200"/>
    </w:pPr>
    <w:rPr>
      <w:b/>
      <w:sz w:val="28"/>
    </w:rPr>
  </w:style>
  <w:style w:type="character" w:customStyle="1" w:styleId="53">
    <w:name w:val="正文文本缩进 2 Char"/>
    <w:basedOn w:val="29"/>
    <w:link w:val="18"/>
    <w:qFormat/>
    <w:uiPriority w:val="0"/>
    <w:rPr>
      <w:rFonts w:ascii="宋体" w:hAnsi="宋体" w:eastAsia="宋体" w:cs="Times New Roman"/>
      <w:color w:val="000000"/>
      <w:kern w:val="0"/>
      <w:sz w:val="24"/>
      <w:szCs w:val="24"/>
    </w:rPr>
  </w:style>
  <w:style w:type="character" w:customStyle="1" w:styleId="54">
    <w:name w:val="日期 Char"/>
    <w:basedOn w:val="29"/>
    <w:link w:val="17"/>
    <w:qFormat/>
    <w:uiPriority w:val="0"/>
    <w:rPr>
      <w:rFonts w:ascii="Times New Roman" w:hAnsi="Times New Roman" w:eastAsia="宋体" w:cs="Times New Roman"/>
      <w:color w:val="0000FF"/>
      <w:sz w:val="28"/>
      <w:szCs w:val="20"/>
    </w:rPr>
  </w:style>
  <w:style w:type="character" w:customStyle="1" w:styleId="55">
    <w:name w:val="正文文本缩进 Char"/>
    <w:basedOn w:val="29"/>
    <w:link w:val="15"/>
    <w:qFormat/>
    <w:uiPriority w:val="0"/>
    <w:rPr>
      <w:rFonts w:ascii="宋体" w:hAnsi="Times New Roman" w:eastAsia="宋体" w:cs="Times New Roman"/>
      <w:color w:val="0000FF"/>
      <w:sz w:val="28"/>
      <w:szCs w:val="20"/>
    </w:rPr>
  </w:style>
  <w:style w:type="character" w:customStyle="1" w:styleId="56">
    <w:name w:val="HTML 预设格式 Char"/>
    <w:basedOn w:val="29"/>
    <w:link w:val="25"/>
    <w:qFormat/>
    <w:uiPriority w:val="0"/>
    <w:rPr>
      <w:rFonts w:ascii="Arial" w:hAnsi="Arial" w:eastAsia="宋体" w:cs="Arial"/>
      <w:kern w:val="0"/>
      <w:sz w:val="24"/>
      <w:szCs w:val="24"/>
    </w:rPr>
  </w:style>
  <w:style w:type="character" w:customStyle="1" w:styleId="57">
    <w:name w:val="正文文本 Char"/>
    <w:basedOn w:val="29"/>
    <w:link w:val="14"/>
    <w:qFormat/>
    <w:uiPriority w:val="0"/>
    <w:rPr>
      <w:rFonts w:ascii="Times New Roman" w:hAnsi="Times New Roman" w:eastAsia="宋体" w:cs="Times New Roman"/>
      <w:color w:val="0000FF"/>
      <w:sz w:val="28"/>
      <w:szCs w:val="20"/>
    </w:rPr>
  </w:style>
  <w:style w:type="character" w:customStyle="1" w:styleId="58">
    <w:name w:val="文档结构图 Char"/>
    <w:basedOn w:val="29"/>
    <w:semiHidden/>
    <w:qFormat/>
    <w:uiPriority w:val="99"/>
    <w:rPr>
      <w:rFonts w:ascii="宋体" w:hAnsi="Times New Roman" w:eastAsia="宋体" w:cs="Times New Roman"/>
      <w:kern w:val="0"/>
      <w:sz w:val="18"/>
      <w:szCs w:val="18"/>
    </w:rPr>
  </w:style>
  <w:style w:type="paragraph" w:customStyle="1" w:styleId="59">
    <w:name w:val="Char1"/>
    <w:basedOn w:val="12"/>
    <w:qFormat/>
    <w:uiPriority w:val="0"/>
    <w:pPr>
      <w:widowControl w:val="0"/>
      <w:shd w:val="clear" w:color="auto" w:fill="000080"/>
      <w:jc w:val="both"/>
    </w:pPr>
    <w:rPr>
      <w:rFonts w:ascii="Tahoma" w:hAnsi="Tahoma"/>
      <w:sz w:val="24"/>
      <w:szCs w:val="24"/>
    </w:rPr>
  </w:style>
  <w:style w:type="paragraph" w:customStyle="1" w:styleId="60">
    <w:name w:val="Char"/>
    <w:basedOn w:val="1"/>
    <w:qFormat/>
    <w:uiPriority w:val="0"/>
    <w:pPr>
      <w:spacing w:after="160" w:line="240" w:lineRule="exact"/>
    </w:pPr>
    <w:rPr>
      <w:rFonts w:ascii="Verdana" w:hAnsi="Verdana" w:eastAsia="楷体_GB2312"/>
      <w:b/>
      <w:i/>
      <w:iCs/>
      <w:color w:val="000000"/>
      <w:sz w:val="20"/>
      <w:szCs w:val="20"/>
      <w:lang w:eastAsia="en-US"/>
    </w:rPr>
  </w:style>
  <w:style w:type="paragraph" w:customStyle="1" w:styleId="61">
    <w:name w:val="Char2"/>
    <w:basedOn w:val="1"/>
    <w:qFormat/>
    <w:uiPriority w:val="0"/>
    <w:pPr>
      <w:spacing w:after="160" w:line="240" w:lineRule="exact"/>
    </w:pPr>
    <w:rPr>
      <w:rFonts w:ascii="Verdana" w:hAnsi="Verdana" w:eastAsia="楷体_GB2312"/>
      <w:b/>
      <w:i/>
      <w:iCs/>
      <w:color w:val="000000"/>
      <w:sz w:val="20"/>
      <w:szCs w:val="20"/>
      <w:lang w:eastAsia="en-US"/>
    </w:rPr>
  </w:style>
  <w:style w:type="character" w:customStyle="1" w:styleId="62">
    <w:name w:val="op-map-singlepoint-info-right1"/>
    <w:qFormat/>
    <w:uiPriority w:val="0"/>
  </w:style>
  <w:style w:type="paragraph" w:customStyle="1" w:styleId="63">
    <w:name w:val="List Paragraph"/>
    <w:basedOn w:val="1"/>
    <w:qFormat/>
    <w:uiPriority w:val="0"/>
    <w:pPr>
      <w:ind w:firstLine="420" w:firstLineChars="200"/>
    </w:pPr>
  </w:style>
  <w:style w:type="paragraph" w:customStyle="1" w:styleId="64">
    <w:name w:val="Char Char Char Char1 Char Char"/>
    <w:basedOn w:val="1"/>
    <w:qFormat/>
    <w:uiPriority w:val="0"/>
    <w:pPr>
      <w:spacing w:after="160" w:line="240" w:lineRule="exact"/>
    </w:pPr>
    <w:rPr>
      <w:rFonts w:ascii="Verdana" w:hAnsi="Verdana"/>
      <w:sz w:val="21"/>
      <w:szCs w:val="20"/>
      <w:lang w:eastAsia="en-US"/>
    </w:rPr>
  </w:style>
  <w:style w:type="paragraph" w:customStyle="1" w:styleId="65">
    <w:name w:val="Char Char Char Char1 Char Char1"/>
    <w:basedOn w:val="1"/>
    <w:qFormat/>
    <w:uiPriority w:val="0"/>
    <w:pPr>
      <w:spacing w:after="160" w:line="240" w:lineRule="exact"/>
    </w:pPr>
    <w:rPr>
      <w:rFonts w:ascii="Verdana" w:hAnsi="Verdana"/>
      <w:sz w:val="21"/>
      <w:szCs w:val="20"/>
      <w:lang w:eastAsia="en-US"/>
    </w:rPr>
  </w:style>
  <w:style w:type="paragraph" w:customStyle="1" w:styleId="66">
    <w:name w:val="Char Char Char Char1 Char Char2"/>
    <w:basedOn w:val="1"/>
    <w:qFormat/>
    <w:uiPriority w:val="0"/>
    <w:pPr>
      <w:spacing w:after="160" w:line="240" w:lineRule="exact"/>
    </w:pPr>
    <w:rPr>
      <w:rFonts w:ascii="Verdana" w:hAnsi="Verdana"/>
      <w:sz w:val="21"/>
      <w:szCs w:val="20"/>
      <w:lang w:eastAsia="en-US"/>
    </w:rPr>
  </w:style>
  <w:style w:type="character" w:customStyle="1" w:styleId="67">
    <w:name w:val="fontviewclass1"/>
    <w:basedOn w:val="29"/>
    <w:qFormat/>
    <w:uiPriority w:val="0"/>
  </w:style>
  <w:style w:type="paragraph" w:customStyle="1" w:styleId="68">
    <w:name w:val="Char Char Char Char1 Char Char3"/>
    <w:basedOn w:val="1"/>
    <w:qFormat/>
    <w:uiPriority w:val="0"/>
    <w:pPr>
      <w:spacing w:after="160" w:line="240" w:lineRule="exact"/>
    </w:pPr>
    <w:rPr>
      <w:rFonts w:ascii="Verdana" w:hAnsi="Verdana"/>
      <w:sz w:val="21"/>
      <w:szCs w:val="20"/>
      <w:lang w:eastAsia="en-US"/>
    </w:rPr>
  </w:style>
  <w:style w:type="paragraph" w:customStyle="1" w:styleId="69">
    <w:name w:val="Char Char Char Char1 Char Char4"/>
    <w:basedOn w:val="1"/>
    <w:qFormat/>
    <w:uiPriority w:val="0"/>
    <w:pPr>
      <w:spacing w:after="160" w:line="240" w:lineRule="exact"/>
    </w:pPr>
    <w:rPr>
      <w:rFonts w:ascii="Verdana" w:hAnsi="Verdana"/>
      <w:sz w:val="21"/>
      <w:szCs w:val="20"/>
      <w:lang w:eastAsia="en-US"/>
    </w:rPr>
  </w:style>
  <w:style w:type="paragraph" w:customStyle="1" w:styleId="70">
    <w:name w:val="Char Char Char Char1 Char Char5"/>
    <w:basedOn w:val="1"/>
    <w:qFormat/>
    <w:uiPriority w:val="0"/>
    <w:pPr>
      <w:spacing w:after="160" w:line="240" w:lineRule="exact"/>
    </w:pPr>
    <w:rPr>
      <w:rFonts w:ascii="Verdana" w:hAnsi="Verdana"/>
      <w:sz w:val="21"/>
      <w:szCs w:val="20"/>
      <w:lang w:eastAsia="en-US"/>
    </w:rPr>
  </w:style>
  <w:style w:type="paragraph" w:customStyle="1" w:styleId="71">
    <w:name w:val="Char Char Char Char1 Char Char6"/>
    <w:basedOn w:val="1"/>
    <w:qFormat/>
    <w:uiPriority w:val="0"/>
    <w:pPr>
      <w:spacing w:after="160" w:line="240" w:lineRule="exact"/>
    </w:pPr>
    <w:rPr>
      <w:rFonts w:ascii="Verdana" w:hAnsi="Verdana"/>
      <w:sz w:val="21"/>
      <w:szCs w:val="20"/>
      <w:lang w:eastAsia="en-US"/>
    </w:rPr>
  </w:style>
  <w:style w:type="paragraph" w:customStyle="1" w:styleId="72">
    <w:name w:val="Char Char Char Char1 Char Char7"/>
    <w:basedOn w:val="1"/>
    <w:qFormat/>
    <w:uiPriority w:val="0"/>
    <w:pPr>
      <w:spacing w:after="160" w:line="240" w:lineRule="exact"/>
    </w:pPr>
    <w:rPr>
      <w:rFonts w:ascii="Verdana" w:hAnsi="Verdana"/>
      <w:sz w:val="21"/>
      <w:szCs w:val="20"/>
      <w:lang w:eastAsia="en-US"/>
    </w:rPr>
  </w:style>
  <w:style w:type="paragraph" w:customStyle="1" w:styleId="73">
    <w:name w:val=" Char Char Char Char1 Char Char"/>
    <w:basedOn w:val="1"/>
    <w:qFormat/>
    <w:uiPriority w:val="0"/>
    <w:pPr>
      <w:spacing w:after="160" w:line="240" w:lineRule="exact"/>
    </w:pPr>
    <w:rPr>
      <w:rFonts w:ascii="Verdana" w:hAnsi="Verdana"/>
      <w:sz w:val="21"/>
      <w:szCs w:val="20"/>
      <w:lang w:eastAsia="en-US"/>
    </w:rPr>
  </w:style>
  <w:style w:type="paragraph" w:customStyle="1" w:styleId="74">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4"/>
    <customShpInfo spid="_x0000_s3073"/>
    <customShpInfo spid="_x0000_s2175"/>
    <customShpInfo spid="_x0000_s217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C7BDD2-A4F3-4AFB-B0DB-33130BCB067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37</Pages>
  <Words>3284</Words>
  <Characters>18721</Characters>
  <Lines>156</Lines>
  <Paragraphs>43</Paragraphs>
  <TotalTime>0</TotalTime>
  <ScaleCrop>false</ScaleCrop>
  <LinksUpToDate>false</LinksUpToDate>
  <CharactersWithSpaces>21962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2021-09-03T04:10:00Z</dcterms:created>
  <dc:creator>User</dc:creator>
  <cp:lastModifiedBy>大雄家的叮当</cp:lastModifiedBy>
  <cp:lastPrinted>2021-10-20T08:21:00Z</cp:lastPrinted>
  <dcterms:modified xsi:type="dcterms:W3CDTF">2021-12-08T08:14:28Z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5AC7C3C8E1AC4C1389123D132CECA5C1</vt:lpwstr>
  </property>
</Properties>
</file>