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5726"/>
        </w:tabs>
        <w:spacing w:line="360" w:lineRule="auto"/>
        <w:ind w:firstLine="292" w:firstLineChars="52"/>
        <w:rPr>
          <w:rFonts w:ascii="宋体" w:hAnsi="宋体"/>
          <w:b/>
          <w:bCs/>
          <w:color w:val="auto"/>
          <w:spacing w:val="40"/>
          <w:sz w:val="48"/>
          <w:szCs w:val="48"/>
          <w:highlight w:val="none"/>
        </w:rPr>
      </w:pPr>
    </w:p>
    <w:p>
      <w:pPr>
        <w:widowControl w:val="0"/>
        <w:spacing w:line="360" w:lineRule="auto"/>
        <w:ind w:firstLine="292" w:firstLineChars="52"/>
        <w:jc w:val="center"/>
        <w:rPr>
          <w:rFonts w:hint="eastAsia" w:ascii="宋体" w:hAnsi="宋体" w:eastAsia="宋体"/>
          <w:b/>
          <w:bCs/>
          <w:color w:val="auto"/>
          <w:spacing w:val="40"/>
          <w:sz w:val="48"/>
          <w:szCs w:val="56"/>
          <w:highlight w:val="none"/>
          <w:lang w:eastAsia="zh-CN"/>
        </w:rPr>
      </w:pPr>
      <w:r>
        <w:rPr>
          <w:rFonts w:hint="eastAsia" w:ascii="宋体" w:hAnsi="宋体"/>
          <w:b/>
          <w:bCs/>
          <w:color w:val="auto"/>
          <w:spacing w:val="40"/>
          <w:sz w:val="48"/>
          <w:szCs w:val="56"/>
          <w:highlight w:val="none"/>
          <w:lang w:eastAsia="zh-CN"/>
        </w:rPr>
        <w:t>中山市三乡镇西山社区智慧垃圾分类管理项目</w:t>
      </w:r>
    </w:p>
    <w:p>
      <w:pPr>
        <w:pStyle w:val="2"/>
        <w:rPr>
          <w:rFonts w:ascii="宋体" w:hAnsi="宋体"/>
          <w:color w:val="auto"/>
          <w:spacing w:val="40"/>
          <w:sz w:val="44"/>
          <w:szCs w:val="52"/>
          <w:highlight w:val="none"/>
        </w:rPr>
      </w:pPr>
    </w:p>
    <w:p>
      <w:pPr>
        <w:rPr>
          <w:color w:val="auto"/>
          <w:highlight w:val="none"/>
        </w:rPr>
      </w:pPr>
    </w:p>
    <w:p>
      <w:pPr>
        <w:widowControl w:val="0"/>
        <w:spacing w:line="360" w:lineRule="auto"/>
        <w:jc w:val="center"/>
        <w:rPr>
          <w:rFonts w:ascii="宋体" w:hAnsi="宋体"/>
          <w:b/>
          <w:bCs/>
          <w:color w:val="auto"/>
          <w:spacing w:val="40"/>
          <w:sz w:val="52"/>
          <w:szCs w:val="72"/>
          <w:highlight w:val="none"/>
        </w:rPr>
      </w:pPr>
      <w:r>
        <w:rPr>
          <w:rFonts w:hint="eastAsia" w:ascii="宋体" w:hAnsi="宋体"/>
          <w:b/>
          <w:bCs/>
          <w:color w:val="auto"/>
          <w:spacing w:val="40"/>
          <w:sz w:val="44"/>
          <w:szCs w:val="52"/>
          <w:highlight w:val="none"/>
        </w:rPr>
        <w:t>（经评审的最低投标价法)</w:t>
      </w:r>
      <w:r>
        <w:rPr>
          <w:rFonts w:hint="eastAsia" w:ascii="宋体" w:hAnsi="宋体"/>
          <w:b/>
          <w:bCs/>
          <w:color w:val="auto"/>
          <w:spacing w:val="40"/>
          <w:sz w:val="44"/>
          <w:szCs w:val="52"/>
          <w:highlight w:val="none"/>
        </w:rPr>
        <w:br w:type="textWrapping"/>
      </w:r>
      <w:r>
        <w:rPr>
          <w:rFonts w:hint="eastAsia" w:ascii="新宋体" w:hAnsi="新宋体" w:eastAsia="新宋体"/>
          <w:color w:val="auto"/>
          <w:sz w:val="32"/>
          <w:szCs w:val="32"/>
          <w:highlight w:val="none"/>
        </w:rPr>
        <w:t>（项目编号：</w:t>
      </w:r>
      <w:r>
        <w:rPr>
          <w:rFonts w:hint="eastAsia" w:ascii="新宋体" w:hAnsi="新宋体" w:eastAsia="新宋体"/>
          <w:color w:val="auto"/>
          <w:sz w:val="32"/>
          <w:szCs w:val="32"/>
          <w:highlight w:val="none"/>
          <w:lang w:eastAsia="zh-CN"/>
        </w:rPr>
        <w:t>FH2021GC1206</w:t>
      </w:r>
      <w:r>
        <w:rPr>
          <w:rFonts w:hint="eastAsia" w:ascii="新宋体" w:hAnsi="新宋体" w:eastAsia="新宋体"/>
          <w:color w:val="auto"/>
          <w:sz w:val="32"/>
          <w:szCs w:val="32"/>
          <w:highlight w:val="none"/>
        </w:rPr>
        <w:t>）</w:t>
      </w:r>
    </w:p>
    <w:p>
      <w:pPr>
        <w:widowControl w:val="0"/>
        <w:spacing w:line="360" w:lineRule="auto"/>
        <w:jc w:val="both"/>
        <w:rPr>
          <w:rFonts w:ascii="宋体" w:hAnsi="宋体"/>
          <w:b/>
          <w:bCs/>
          <w:color w:val="auto"/>
          <w:spacing w:val="40"/>
          <w:sz w:val="44"/>
          <w:szCs w:val="52"/>
          <w:highlight w:val="none"/>
        </w:rPr>
      </w:pPr>
    </w:p>
    <w:p>
      <w:pPr>
        <w:widowControl w:val="0"/>
        <w:spacing w:line="360" w:lineRule="auto"/>
        <w:ind w:firstLine="271" w:firstLineChars="52"/>
        <w:jc w:val="center"/>
        <w:rPr>
          <w:rFonts w:ascii="宋体" w:hAnsi="宋体"/>
          <w:b/>
          <w:bCs/>
          <w:color w:val="auto"/>
          <w:spacing w:val="40"/>
          <w:sz w:val="44"/>
          <w:szCs w:val="52"/>
          <w:highlight w:val="none"/>
        </w:rPr>
      </w:pPr>
    </w:p>
    <w:p>
      <w:pPr>
        <w:widowControl w:val="0"/>
        <w:spacing w:line="360" w:lineRule="auto"/>
        <w:ind w:firstLine="292" w:firstLineChars="52"/>
        <w:jc w:val="center"/>
        <w:rPr>
          <w:rFonts w:ascii="宋体" w:hAnsi="宋体"/>
          <w:b/>
          <w:bCs/>
          <w:color w:val="auto"/>
          <w:spacing w:val="40"/>
          <w:sz w:val="48"/>
          <w:szCs w:val="56"/>
          <w:highlight w:val="none"/>
        </w:rPr>
      </w:pPr>
      <w:r>
        <w:rPr>
          <w:rFonts w:hint="eastAsia" w:ascii="宋体" w:hAnsi="宋体"/>
          <w:b/>
          <w:bCs/>
          <w:color w:val="auto"/>
          <w:spacing w:val="40"/>
          <w:sz w:val="48"/>
          <w:szCs w:val="56"/>
          <w:highlight w:val="none"/>
        </w:rPr>
        <w:t>邀请招标文件</w:t>
      </w:r>
    </w:p>
    <w:p>
      <w:pPr>
        <w:widowControl w:val="0"/>
        <w:spacing w:line="360" w:lineRule="auto"/>
        <w:jc w:val="both"/>
        <w:rPr>
          <w:rFonts w:ascii="宋体" w:hAnsi="宋体"/>
          <w:b/>
          <w:color w:val="auto"/>
          <w:sz w:val="30"/>
          <w:szCs w:val="30"/>
          <w:highlight w:val="none"/>
        </w:rPr>
      </w:pPr>
    </w:p>
    <w:p>
      <w:pPr>
        <w:widowControl w:val="0"/>
        <w:spacing w:line="360" w:lineRule="auto"/>
        <w:ind w:firstLine="187" w:firstLineChars="52"/>
        <w:jc w:val="center"/>
        <w:rPr>
          <w:rFonts w:ascii="宋体" w:hAnsi="宋体"/>
          <w:color w:val="auto"/>
          <w:sz w:val="36"/>
          <w:highlight w:val="none"/>
        </w:rPr>
      </w:pPr>
    </w:p>
    <w:p>
      <w:pPr>
        <w:widowControl w:val="0"/>
        <w:spacing w:line="360" w:lineRule="auto"/>
        <w:ind w:firstLine="187" w:firstLineChars="52"/>
        <w:jc w:val="center"/>
        <w:rPr>
          <w:rFonts w:ascii="宋体" w:hAnsi="宋体"/>
          <w:color w:val="auto"/>
          <w:sz w:val="36"/>
          <w:highlight w:val="none"/>
        </w:rPr>
      </w:pPr>
      <w:r>
        <w:rPr>
          <w:rFonts w:hint="eastAsia" w:ascii="宋体" w:hAnsi="宋体"/>
          <w:color w:val="auto"/>
          <w:sz w:val="36"/>
          <w:highlight w:val="none"/>
        </w:rPr>
        <w:t xml:space="preserve">     </w:t>
      </w:r>
    </w:p>
    <w:p>
      <w:pPr>
        <w:widowControl w:val="0"/>
        <w:spacing w:line="360" w:lineRule="auto"/>
        <w:ind w:firstLine="177" w:firstLineChars="52"/>
        <w:rPr>
          <w:rFonts w:ascii="宋体" w:hAnsi="宋体"/>
          <w:b/>
          <w:color w:val="auto"/>
          <w:spacing w:val="20"/>
          <w:sz w:val="30"/>
          <w:szCs w:val="30"/>
          <w:highlight w:val="none"/>
        </w:rPr>
      </w:pPr>
    </w:p>
    <w:p>
      <w:pPr>
        <w:widowControl w:val="0"/>
        <w:spacing w:line="360" w:lineRule="auto"/>
        <w:ind w:firstLine="177" w:firstLineChars="52"/>
        <w:rPr>
          <w:rFonts w:ascii="宋体" w:hAnsi="宋体"/>
          <w:b/>
          <w:color w:val="auto"/>
          <w:spacing w:val="20"/>
          <w:sz w:val="30"/>
          <w:szCs w:val="30"/>
          <w:highlight w:val="none"/>
        </w:rPr>
      </w:pPr>
    </w:p>
    <w:p>
      <w:pPr>
        <w:widowControl w:val="0"/>
        <w:spacing w:line="360" w:lineRule="auto"/>
        <w:ind w:firstLine="177" w:firstLineChars="52"/>
        <w:rPr>
          <w:rFonts w:ascii="宋体" w:hAnsi="宋体"/>
          <w:b/>
          <w:color w:val="auto"/>
          <w:spacing w:val="20"/>
          <w:sz w:val="30"/>
          <w:szCs w:val="30"/>
          <w:highlight w:val="none"/>
        </w:rPr>
      </w:pPr>
    </w:p>
    <w:p>
      <w:pPr>
        <w:widowControl w:val="0"/>
        <w:spacing w:line="360" w:lineRule="auto"/>
        <w:ind w:left="1699" w:leftChars="708"/>
        <w:rPr>
          <w:rFonts w:ascii="宋体" w:hAnsi="宋体"/>
          <w:b/>
          <w:color w:val="auto"/>
          <w:spacing w:val="-10"/>
          <w:sz w:val="30"/>
          <w:szCs w:val="30"/>
          <w:highlight w:val="none"/>
        </w:rPr>
      </w:pPr>
      <w:r>
        <w:rPr>
          <w:rFonts w:hint="eastAsia" w:ascii="宋体" w:hAnsi="宋体"/>
          <w:b/>
          <w:color w:val="auto"/>
          <w:spacing w:val="-10"/>
          <w:sz w:val="30"/>
          <w:szCs w:val="30"/>
          <w:highlight w:val="none"/>
        </w:rPr>
        <w:t>招标人：中山市三乡镇西山社区居民委员会</w:t>
      </w:r>
    </w:p>
    <w:p>
      <w:pPr>
        <w:widowControl w:val="0"/>
        <w:spacing w:line="360" w:lineRule="auto"/>
        <w:ind w:left="1699" w:leftChars="708"/>
        <w:rPr>
          <w:rFonts w:ascii="宋体" w:hAnsi="宋体"/>
          <w:b/>
          <w:color w:val="auto"/>
          <w:spacing w:val="-10"/>
          <w:sz w:val="30"/>
          <w:szCs w:val="30"/>
          <w:highlight w:val="none"/>
        </w:rPr>
      </w:pPr>
      <w:r>
        <w:rPr>
          <w:rFonts w:hint="eastAsia" w:ascii="宋体" w:hAnsi="宋体"/>
          <w:b/>
          <w:color w:val="auto"/>
          <w:spacing w:val="-10"/>
          <w:sz w:val="30"/>
          <w:szCs w:val="30"/>
          <w:highlight w:val="none"/>
        </w:rPr>
        <w:t>招标代理机构：方禾（广东）项目管理有限公司</w:t>
      </w:r>
    </w:p>
    <w:p>
      <w:pPr>
        <w:widowControl w:val="0"/>
        <w:tabs>
          <w:tab w:val="left" w:pos="2552"/>
        </w:tabs>
        <w:spacing w:before="120" w:beforeLines="50" w:after="120" w:afterLines="50" w:line="360" w:lineRule="auto"/>
        <w:ind w:left="1699" w:leftChars="708" w:firstLine="1644" w:firstLineChars="546"/>
        <w:rPr>
          <w:rFonts w:ascii="宋体" w:hAnsi="宋体"/>
          <w:b/>
          <w:color w:val="auto"/>
          <w:sz w:val="30"/>
          <w:highlight w:val="none"/>
        </w:rPr>
      </w:pPr>
      <w:r>
        <w:rPr>
          <w:rFonts w:hint="eastAsia" w:ascii="宋体" w:hAnsi="宋体"/>
          <w:b/>
          <w:color w:val="auto"/>
          <w:sz w:val="30"/>
          <w:highlight w:val="none"/>
        </w:rPr>
        <w:t>2021年1</w:t>
      </w:r>
      <w:r>
        <w:rPr>
          <w:rFonts w:hint="eastAsia" w:ascii="宋体" w:hAnsi="宋体"/>
          <w:b/>
          <w:color w:val="auto"/>
          <w:sz w:val="30"/>
          <w:highlight w:val="none"/>
          <w:lang w:val="en-US" w:eastAsia="zh-CN"/>
        </w:rPr>
        <w:t>2</w:t>
      </w:r>
      <w:r>
        <w:rPr>
          <w:rFonts w:hint="eastAsia" w:ascii="宋体" w:hAnsi="宋体"/>
          <w:b/>
          <w:color w:val="auto"/>
          <w:sz w:val="30"/>
          <w:highlight w:val="none"/>
        </w:rPr>
        <w:t>月</w:t>
      </w:r>
    </w:p>
    <w:p>
      <w:pPr>
        <w:widowControl w:val="0"/>
        <w:tabs>
          <w:tab w:val="left" w:pos="2552"/>
        </w:tabs>
        <w:spacing w:before="120" w:beforeLines="50" w:after="120" w:afterLines="50" w:line="360" w:lineRule="auto"/>
        <w:rPr>
          <w:rFonts w:ascii="宋体" w:hAnsi="宋体"/>
          <w:b/>
          <w:color w:val="auto"/>
          <w:sz w:val="30"/>
          <w:highlight w:val="none"/>
        </w:rPr>
        <w:sectPr>
          <w:pgSz w:w="11906" w:h="16838"/>
          <w:pgMar w:top="1418" w:right="1134" w:bottom="1418" w:left="1418" w:header="851" w:footer="992" w:gutter="0"/>
          <w:cols w:space="720" w:num="1"/>
          <w:docGrid w:linePitch="312" w:charSpace="0"/>
        </w:sectPr>
      </w:pPr>
    </w:p>
    <w:p>
      <w:pPr>
        <w:pageBreakBefore/>
        <w:spacing w:line="360" w:lineRule="auto"/>
        <w:jc w:val="center"/>
        <w:rPr>
          <w:rFonts w:ascii="宋体" w:hAnsi="宋体"/>
          <w:b/>
          <w:color w:val="auto"/>
          <w:highlight w:val="none"/>
        </w:rPr>
      </w:pPr>
      <w:r>
        <w:rPr>
          <w:rFonts w:hint="eastAsia" w:ascii="宋体" w:hAnsi="宋体"/>
          <w:b/>
          <w:color w:val="auto"/>
          <w:sz w:val="40"/>
          <w:highlight w:val="none"/>
        </w:rPr>
        <w:t>目 录</w:t>
      </w:r>
      <w:r>
        <w:rPr>
          <w:rFonts w:hint="eastAsia" w:ascii="宋体" w:hAnsi="宋体"/>
          <w:b/>
          <w:bCs/>
          <w:caps/>
          <w:color w:val="auto"/>
          <w:sz w:val="44"/>
          <w:szCs w:val="44"/>
          <w:highlight w:val="none"/>
        </w:rPr>
        <w:br w:type="textWrapping"/>
      </w:r>
      <w:r>
        <w:rPr>
          <w:rFonts w:ascii="宋体" w:hAnsi="宋体"/>
          <w:b/>
          <w:bCs/>
          <w:caps/>
          <w:color w:val="auto"/>
          <w:sz w:val="28"/>
          <w:szCs w:val="28"/>
          <w:highlight w:val="none"/>
        </w:rPr>
        <w:fldChar w:fldCharType="begin"/>
      </w:r>
      <w:r>
        <w:rPr>
          <w:rFonts w:ascii="宋体" w:hAnsi="宋体"/>
          <w:b/>
          <w:bCs/>
          <w:caps/>
          <w:color w:val="auto"/>
          <w:sz w:val="28"/>
          <w:szCs w:val="28"/>
          <w:highlight w:val="none"/>
        </w:rPr>
        <w:instrText xml:space="preserve"> </w:instrText>
      </w:r>
      <w:r>
        <w:rPr>
          <w:rFonts w:hint="eastAsia" w:ascii="宋体" w:hAnsi="宋体"/>
          <w:b/>
          <w:bCs/>
          <w:caps/>
          <w:color w:val="auto"/>
          <w:sz w:val="28"/>
          <w:szCs w:val="28"/>
          <w:highlight w:val="none"/>
        </w:rPr>
        <w:instrText xml:space="preserve">TOC \o "1-3" \h \z \u</w:instrText>
      </w:r>
      <w:r>
        <w:rPr>
          <w:rFonts w:ascii="宋体" w:hAnsi="宋体"/>
          <w:b/>
          <w:bCs/>
          <w:caps/>
          <w:color w:val="auto"/>
          <w:sz w:val="28"/>
          <w:szCs w:val="28"/>
          <w:highlight w:val="none"/>
        </w:rPr>
        <w:instrText xml:space="preserve"> </w:instrText>
      </w:r>
      <w:r>
        <w:rPr>
          <w:rFonts w:ascii="宋体" w:hAnsi="宋体"/>
          <w:b/>
          <w:bCs/>
          <w:caps/>
          <w:color w:val="auto"/>
          <w:sz w:val="28"/>
          <w:szCs w:val="28"/>
          <w:highlight w:val="none"/>
        </w:rPr>
        <w:fldChar w:fldCharType="separate"/>
      </w:r>
    </w:p>
    <w:p>
      <w:pPr>
        <w:pStyle w:val="24"/>
        <w:spacing w:line="360" w:lineRule="auto"/>
        <w:rPr>
          <w:rFonts w:ascii="宋体" w:hAnsi="宋体" w:eastAsia="宋体" w:cstheme="minorBidi"/>
          <w:color w:val="auto"/>
          <w:kern w:val="2"/>
          <w:highlight w:val="none"/>
        </w:rPr>
      </w:pPr>
      <w:r>
        <w:rPr>
          <w:color w:val="auto"/>
          <w:highlight w:val="none"/>
        </w:rPr>
        <w:fldChar w:fldCharType="begin"/>
      </w:r>
      <w:r>
        <w:rPr>
          <w:color w:val="auto"/>
          <w:highlight w:val="none"/>
        </w:rPr>
        <w:instrText xml:space="preserve"> HYPERLINK \l "_Toc80020744" </w:instrText>
      </w:r>
      <w:r>
        <w:rPr>
          <w:color w:val="auto"/>
          <w:highlight w:val="none"/>
        </w:rPr>
        <w:fldChar w:fldCharType="separate"/>
      </w:r>
      <w:r>
        <w:rPr>
          <w:rStyle w:val="32"/>
          <w:rFonts w:hint="eastAsia" w:ascii="宋体" w:hAnsi="宋体" w:eastAsia="宋体"/>
          <w:color w:val="auto"/>
          <w:highlight w:val="none"/>
        </w:rPr>
        <w:t>第一章</w:t>
      </w:r>
      <w:r>
        <w:rPr>
          <w:rStyle w:val="32"/>
          <w:rFonts w:ascii="宋体" w:hAnsi="宋体" w:eastAsia="宋体"/>
          <w:color w:val="auto"/>
          <w:highlight w:val="none"/>
        </w:rPr>
        <w:t xml:space="preserve"> </w:t>
      </w:r>
      <w:r>
        <w:rPr>
          <w:rStyle w:val="32"/>
          <w:rFonts w:hint="eastAsia" w:ascii="宋体" w:hAnsi="宋体" w:eastAsia="宋体"/>
          <w:color w:val="auto"/>
          <w:highlight w:val="none"/>
        </w:rPr>
        <w:t>邀请招标公告</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_Toc80020744 \h </w:instrText>
      </w:r>
      <w:r>
        <w:rPr>
          <w:rFonts w:ascii="宋体" w:hAnsi="宋体" w:eastAsia="宋体"/>
          <w:color w:val="auto"/>
          <w:highlight w:val="none"/>
        </w:rPr>
        <w:fldChar w:fldCharType="separate"/>
      </w:r>
      <w:r>
        <w:rPr>
          <w:rFonts w:ascii="宋体" w:hAnsi="宋体" w:eastAsia="宋体"/>
          <w:color w:val="auto"/>
          <w:highlight w:val="none"/>
        </w:rPr>
        <w:t>3</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22"/>
        <w:tabs>
          <w:tab w:val="right" w:leader="dot" w:pos="9628"/>
        </w:tabs>
        <w:spacing w:line="360" w:lineRule="auto"/>
        <w:rPr>
          <w:rFonts w:ascii="宋体" w:hAnsi="宋体" w:cstheme="minorBidi"/>
          <w:b/>
          <w:color w:val="auto"/>
          <w:kern w:val="2"/>
          <w:highlight w:val="none"/>
        </w:rPr>
      </w:pPr>
      <w:r>
        <w:rPr>
          <w:color w:val="auto"/>
          <w:highlight w:val="none"/>
        </w:rPr>
        <w:fldChar w:fldCharType="begin"/>
      </w:r>
      <w:r>
        <w:rPr>
          <w:color w:val="auto"/>
          <w:highlight w:val="none"/>
        </w:rPr>
        <w:instrText xml:space="preserve"> HYPERLINK \l "_Toc80020745" </w:instrText>
      </w:r>
      <w:r>
        <w:rPr>
          <w:color w:val="auto"/>
          <w:highlight w:val="none"/>
        </w:rPr>
        <w:fldChar w:fldCharType="separate"/>
      </w:r>
      <w:r>
        <w:rPr>
          <w:rStyle w:val="32"/>
          <w:rFonts w:hint="eastAsia" w:ascii="宋体" w:hAnsi="宋体"/>
          <w:b/>
          <w:color w:val="auto"/>
          <w:highlight w:val="none"/>
        </w:rPr>
        <w:t>第二章</w:t>
      </w:r>
      <w:r>
        <w:rPr>
          <w:rStyle w:val="32"/>
          <w:rFonts w:ascii="宋体" w:hAnsi="宋体"/>
          <w:b/>
          <w:color w:val="auto"/>
          <w:highlight w:val="none"/>
        </w:rPr>
        <w:t xml:space="preserve"> </w:t>
      </w:r>
      <w:r>
        <w:rPr>
          <w:rStyle w:val="32"/>
          <w:rFonts w:hint="eastAsia" w:ascii="宋体" w:hAnsi="宋体"/>
          <w:b/>
          <w:color w:val="auto"/>
          <w:highlight w:val="none"/>
        </w:rPr>
        <w:t>投标人须知</w:t>
      </w:r>
      <w:r>
        <w:rPr>
          <w:rFonts w:ascii="宋体" w:hAnsi="宋体"/>
          <w:b/>
          <w:color w:val="auto"/>
          <w:highlight w:val="none"/>
        </w:rPr>
        <w:tab/>
      </w:r>
      <w:r>
        <w:rPr>
          <w:rFonts w:ascii="宋体" w:hAnsi="宋体"/>
          <w:b/>
          <w:color w:val="auto"/>
          <w:highlight w:val="none"/>
        </w:rPr>
        <w:fldChar w:fldCharType="begin"/>
      </w:r>
      <w:r>
        <w:rPr>
          <w:rFonts w:ascii="宋体" w:hAnsi="宋体"/>
          <w:b/>
          <w:color w:val="auto"/>
          <w:highlight w:val="none"/>
        </w:rPr>
        <w:instrText xml:space="preserve"> PAGEREF _Toc80020745 \h </w:instrText>
      </w:r>
      <w:r>
        <w:rPr>
          <w:rFonts w:ascii="宋体" w:hAnsi="宋体"/>
          <w:b/>
          <w:color w:val="auto"/>
          <w:highlight w:val="none"/>
        </w:rPr>
        <w:fldChar w:fldCharType="separate"/>
      </w:r>
      <w:r>
        <w:rPr>
          <w:rFonts w:ascii="宋体" w:hAnsi="宋体"/>
          <w:b/>
          <w:color w:val="auto"/>
          <w:highlight w:val="none"/>
        </w:rPr>
        <w:t>6</w:t>
      </w:r>
      <w:r>
        <w:rPr>
          <w:rFonts w:ascii="宋体" w:hAnsi="宋体"/>
          <w:b/>
          <w:color w:val="auto"/>
          <w:highlight w:val="none"/>
        </w:rPr>
        <w:fldChar w:fldCharType="end"/>
      </w:r>
      <w:r>
        <w:rPr>
          <w:rFonts w:ascii="宋体" w:hAnsi="宋体"/>
          <w:b/>
          <w:color w:val="auto"/>
          <w:highlight w:val="none"/>
        </w:rPr>
        <w:fldChar w:fldCharType="end"/>
      </w:r>
      <w:r>
        <w:rPr>
          <w:rFonts w:ascii="宋体" w:hAnsi="宋体" w:cstheme="minorBidi"/>
          <w:b/>
          <w:color w:val="auto"/>
          <w:kern w:val="2"/>
          <w:highlight w:val="none"/>
        </w:rPr>
        <w:t xml:space="preserve"> </w:t>
      </w:r>
    </w:p>
    <w:p>
      <w:pPr>
        <w:pStyle w:val="24"/>
        <w:spacing w:line="360" w:lineRule="auto"/>
        <w:rPr>
          <w:rFonts w:ascii="宋体" w:hAnsi="宋体" w:eastAsia="宋体" w:cstheme="minorBidi"/>
          <w:color w:val="auto"/>
          <w:kern w:val="2"/>
          <w:highlight w:val="none"/>
        </w:rPr>
      </w:pPr>
      <w:r>
        <w:rPr>
          <w:color w:val="auto"/>
          <w:highlight w:val="none"/>
        </w:rPr>
        <w:fldChar w:fldCharType="begin"/>
      </w:r>
      <w:r>
        <w:rPr>
          <w:color w:val="auto"/>
          <w:highlight w:val="none"/>
        </w:rPr>
        <w:instrText xml:space="preserve"> HYPERLINK \l "_Toc80020747" </w:instrText>
      </w:r>
      <w:r>
        <w:rPr>
          <w:color w:val="auto"/>
          <w:highlight w:val="none"/>
        </w:rPr>
        <w:fldChar w:fldCharType="separate"/>
      </w:r>
      <w:r>
        <w:rPr>
          <w:rStyle w:val="32"/>
          <w:rFonts w:hint="eastAsia" w:ascii="宋体" w:hAnsi="宋体" w:eastAsia="宋体"/>
          <w:color w:val="auto"/>
          <w:highlight w:val="none"/>
        </w:rPr>
        <w:t>第三章 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_Toc80020747 \h </w:instrText>
      </w:r>
      <w:r>
        <w:rPr>
          <w:rFonts w:ascii="宋体" w:hAnsi="宋体" w:eastAsia="宋体"/>
          <w:color w:val="auto"/>
          <w:highlight w:val="none"/>
        </w:rPr>
        <w:fldChar w:fldCharType="separate"/>
      </w:r>
      <w:r>
        <w:rPr>
          <w:rFonts w:ascii="宋体" w:hAnsi="宋体" w:eastAsia="宋体"/>
          <w:color w:val="auto"/>
          <w:highlight w:val="none"/>
        </w:rPr>
        <w:t>22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22"/>
        <w:tabs>
          <w:tab w:val="right" w:leader="dot" w:pos="9628"/>
        </w:tabs>
        <w:spacing w:line="360" w:lineRule="auto"/>
        <w:rPr>
          <w:rFonts w:ascii="宋体" w:hAnsi="宋体" w:cstheme="minorBidi"/>
          <w:b/>
          <w:color w:val="auto"/>
          <w:kern w:val="2"/>
          <w:highlight w:val="none"/>
        </w:rPr>
      </w:pPr>
      <w:r>
        <w:rPr>
          <w:color w:val="auto"/>
          <w:highlight w:val="none"/>
        </w:rPr>
        <w:fldChar w:fldCharType="begin"/>
      </w:r>
      <w:r>
        <w:rPr>
          <w:color w:val="auto"/>
          <w:highlight w:val="none"/>
        </w:rPr>
        <w:instrText xml:space="preserve"> HYPERLINK \l "_Toc80020748" </w:instrText>
      </w:r>
      <w:r>
        <w:rPr>
          <w:color w:val="auto"/>
          <w:highlight w:val="none"/>
        </w:rPr>
        <w:fldChar w:fldCharType="separate"/>
      </w:r>
      <w:r>
        <w:rPr>
          <w:rStyle w:val="32"/>
          <w:rFonts w:hint="eastAsia" w:ascii="宋体" w:hAnsi="宋体"/>
          <w:b/>
          <w:color w:val="auto"/>
          <w:highlight w:val="none"/>
        </w:rPr>
        <w:t>第四章</w:t>
      </w:r>
      <w:r>
        <w:rPr>
          <w:rStyle w:val="32"/>
          <w:rFonts w:ascii="宋体" w:hAnsi="宋体"/>
          <w:b/>
          <w:color w:val="auto"/>
          <w:highlight w:val="none"/>
        </w:rPr>
        <w:t xml:space="preserve"> </w:t>
      </w:r>
      <w:r>
        <w:rPr>
          <w:rStyle w:val="32"/>
          <w:rFonts w:hint="eastAsia" w:ascii="宋体" w:hAnsi="宋体"/>
          <w:b/>
          <w:color w:val="auto"/>
          <w:highlight w:val="none"/>
        </w:rPr>
        <w:t>合同条款及格式</w:t>
      </w:r>
      <w:r>
        <w:rPr>
          <w:rFonts w:ascii="宋体" w:hAnsi="宋体"/>
          <w:b/>
          <w:color w:val="auto"/>
          <w:highlight w:val="none"/>
        </w:rPr>
        <w:tab/>
      </w:r>
      <w:r>
        <w:rPr>
          <w:rFonts w:ascii="宋体" w:hAnsi="宋体"/>
          <w:b/>
          <w:color w:val="auto"/>
          <w:highlight w:val="none"/>
        </w:rPr>
        <w:fldChar w:fldCharType="begin"/>
      </w:r>
      <w:r>
        <w:rPr>
          <w:rFonts w:ascii="宋体" w:hAnsi="宋体"/>
          <w:b/>
          <w:color w:val="auto"/>
          <w:highlight w:val="none"/>
        </w:rPr>
        <w:instrText xml:space="preserve"> PAGEREF _Toc80020748 \h </w:instrText>
      </w:r>
      <w:r>
        <w:rPr>
          <w:rFonts w:ascii="宋体" w:hAnsi="宋体"/>
          <w:b/>
          <w:color w:val="auto"/>
          <w:highlight w:val="none"/>
        </w:rPr>
        <w:fldChar w:fldCharType="separate"/>
      </w:r>
      <w:r>
        <w:rPr>
          <w:rFonts w:ascii="宋体" w:hAnsi="宋体"/>
          <w:b/>
          <w:color w:val="auto"/>
          <w:highlight w:val="none"/>
        </w:rPr>
        <w:t>27</w:t>
      </w:r>
      <w:r>
        <w:rPr>
          <w:rFonts w:ascii="宋体" w:hAnsi="宋体"/>
          <w:b/>
          <w:color w:val="auto"/>
          <w:highlight w:val="none"/>
        </w:rPr>
        <w:fldChar w:fldCharType="end"/>
      </w:r>
      <w:r>
        <w:rPr>
          <w:rFonts w:ascii="宋体" w:hAnsi="宋体"/>
          <w:b/>
          <w:color w:val="auto"/>
          <w:highlight w:val="none"/>
        </w:rPr>
        <w:fldChar w:fldCharType="end"/>
      </w:r>
    </w:p>
    <w:p>
      <w:pPr>
        <w:pStyle w:val="22"/>
        <w:tabs>
          <w:tab w:val="right" w:leader="dot" w:pos="9628"/>
        </w:tabs>
        <w:spacing w:line="360" w:lineRule="auto"/>
        <w:rPr>
          <w:rFonts w:ascii="宋体" w:hAnsi="宋体" w:cstheme="minorBidi"/>
          <w:b/>
          <w:color w:val="auto"/>
          <w:kern w:val="2"/>
          <w:highlight w:val="none"/>
        </w:rPr>
      </w:pPr>
      <w:r>
        <w:rPr>
          <w:color w:val="auto"/>
          <w:highlight w:val="none"/>
        </w:rPr>
        <w:fldChar w:fldCharType="begin"/>
      </w:r>
      <w:r>
        <w:rPr>
          <w:color w:val="auto"/>
          <w:highlight w:val="none"/>
        </w:rPr>
        <w:instrText xml:space="preserve"> HYPERLINK \l "_Toc80020749" </w:instrText>
      </w:r>
      <w:r>
        <w:rPr>
          <w:color w:val="auto"/>
          <w:highlight w:val="none"/>
        </w:rPr>
        <w:fldChar w:fldCharType="separate"/>
      </w:r>
      <w:r>
        <w:rPr>
          <w:rStyle w:val="32"/>
          <w:rFonts w:hint="eastAsia" w:ascii="宋体" w:hAnsi="宋体"/>
          <w:b/>
          <w:color w:val="auto"/>
          <w:highlight w:val="none"/>
        </w:rPr>
        <w:t>第五章</w:t>
      </w:r>
      <w:r>
        <w:rPr>
          <w:rStyle w:val="32"/>
          <w:rFonts w:ascii="宋体" w:hAnsi="宋体"/>
          <w:b/>
          <w:color w:val="auto"/>
          <w:highlight w:val="none"/>
        </w:rPr>
        <w:t xml:space="preserve"> </w:t>
      </w:r>
      <w:r>
        <w:rPr>
          <w:rStyle w:val="32"/>
          <w:rFonts w:hint="eastAsia" w:ascii="宋体" w:hAnsi="宋体"/>
          <w:b/>
          <w:color w:val="auto"/>
          <w:highlight w:val="none"/>
        </w:rPr>
        <w:t>工程量清单及工程量清单计价</w:t>
      </w:r>
      <w:r>
        <w:rPr>
          <w:rFonts w:ascii="宋体" w:hAnsi="宋体"/>
          <w:b/>
          <w:color w:val="auto"/>
          <w:highlight w:val="none"/>
        </w:rPr>
        <w:tab/>
      </w:r>
      <w:r>
        <w:rPr>
          <w:rFonts w:ascii="宋体" w:hAnsi="宋体"/>
          <w:b/>
          <w:color w:val="auto"/>
          <w:highlight w:val="none"/>
        </w:rPr>
        <w:fldChar w:fldCharType="begin"/>
      </w:r>
      <w:r>
        <w:rPr>
          <w:rFonts w:ascii="宋体" w:hAnsi="宋体"/>
          <w:b/>
          <w:color w:val="auto"/>
          <w:highlight w:val="none"/>
        </w:rPr>
        <w:instrText xml:space="preserve"> PAGEREF _Toc80020749 \h </w:instrText>
      </w:r>
      <w:r>
        <w:rPr>
          <w:rFonts w:ascii="宋体" w:hAnsi="宋体"/>
          <w:b/>
          <w:color w:val="auto"/>
          <w:highlight w:val="none"/>
        </w:rPr>
        <w:fldChar w:fldCharType="separate"/>
      </w:r>
      <w:r>
        <w:rPr>
          <w:rFonts w:ascii="宋体" w:hAnsi="宋体"/>
          <w:b/>
          <w:color w:val="auto"/>
          <w:highlight w:val="none"/>
        </w:rPr>
        <w:t>28</w:t>
      </w:r>
      <w:r>
        <w:rPr>
          <w:rFonts w:ascii="宋体" w:hAnsi="宋体"/>
          <w:b/>
          <w:color w:val="auto"/>
          <w:highlight w:val="none"/>
        </w:rPr>
        <w:fldChar w:fldCharType="end"/>
      </w:r>
      <w:r>
        <w:rPr>
          <w:rFonts w:ascii="宋体" w:hAnsi="宋体"/>
          <w:b/>
          <w:color w:val="auto"/>
          <w:highlight w:val="none"/>
        </w:rPr>
        <w:fldChar w:fldCharType="end"/>
      </w:r>
    </w:p>
    <w:p>
      <w:pPr>
        <w:pStyle w:val="24"/>
        <w:spacing w:line="360" w:lineRule="auto"/>
        <w:rPr>
          <w:rFonts w:ascii="宋体" w:hAnsi="宋体" w:eastAsia="宋体" w:cstheme="minorBidi"/>
          <w:color w:val="auto"/>
          <w:kern w:val="2"/>
          <w:highlight w:val="none"/>
        </w:rPr>
      </w:pPr>
      <w:r>
        <w:rPr>
          <w:color w:val="auto"/>
          <w:highlight w:val="none"/>
        </w:rPr>
        <w:fldChar w:fldCharType="begin"/>
      </w:r>
      <w:r>
        <w:rPr>
          <w:color w:val="auto"/>
          <w:highlight w:val="none"/>
        </w:rPr>
        <w:instrText xml:space="preserve"> HYPERLINK \l "_Toc80020750" </w:instrText>
      </w:r>
      <w:r>
        <w:rPr>
          <w:color w:val="auto"/>
          <w:highlight w:val="none"/>
        </w:rPr>
        <w:fldChar w:fldCharType="separate"/>
      </w:r>
      <w:r>
        <w:rPr>
          <w:rStyle w:val="32"/>
          <w:rFonts w:hint="eastAsia" w:ascii="宋体" w:hAnsi="宋体" w:eastAsia="宋体"/>
          <w:color w:val="auto"/>
          <w:kern w:val="44"/>
          <w:highlight w:val="none"/>
        </w:rPr>
        <w:t>第六章</w:t>
      </w:r>
      <w:r>
        <w:rPr>
          <w:rStyle w:val="32"/>
          <w:rFonts w:ascii="宋体" w:hAnsi="宋体" w:eastAsia="宋体"/>
          <w:color w:val="auto"/>
          <w:kern w:val="44"/>
          <w:highlight w:val="none"/>
        </w:rPr>
        <w:t xml:space="preserve"> </w:t>
      </w:r>
      <w:r>
        <w:rPr>
          <w:rStyle w:val="32"/>
          <w:rFonts w:hint="eastAsia" w:ascii="宋体" w:hAnsi="宋体" w:eastAsia="宋体"/>
          <w:color w:val="auto"/>
          <w:kern w:val="44"/>
          <w:highlight w:val="none"/>
        </w:rPr>
        <w:t>图纸</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_Toc80020750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24"/>
        <w:spacing w:line="360" w:lineRule="auto"/>
        <w:rPr>
          <w:rFonts w:ascii="宋体" w:hAnsi="宋体" w:eastAsia="宋体" w:cstheme="minorBidi"/>
          <w:color w:val="auto"/>
          <w:kern w:val="2"/>
          <w:highlight w:val="none"/>
        </w:rPr>
      </w:pPr>
      <w:r>
        <w:rPr>
          <w:color w:val="auto"/>
          <w:highlight w:val="none"/>
        </w:rPr>
        <w:fldChar w:fldCharType="begin"/>
      </w:r>
      <w:r>
        <w:rPr>
          <w:color w:val="auto"/>
          <w:highlight w:val="none"/>
        </w:rPr>
        <w:instrText xml:space="preserve"> HYPERLINK \l "_Toc80020751" </w:instrText>
      </w:r>
      <w:r>
        <w:rPr>
          <w:color w:val="auto"/>
          <w:highlight w:val="none"/>
        </w:rPr>
        <w:fldChar w:fldCharType="separate"/>
      </w:r>
      <w:r>
        <w:rPr>
          <w:rStyle w:val="32"/>
          <w:rFonts w:hint="eastAsia" w:ascii="宋体" w:hAnsi="宋体" w:eastAsia="宋体"/>
          <w:color w:val="auto"/>
          <w:kern w:val="44"/>
          <w:highlight w:val="none"/>
        </w:rPr>
        <w:t>第七章</w:t>
      </w:r>
      <w:r>
        <w:rPr>
          <w:rStyle w:val="32"/>
          <w:rFonts w:ascii="宋体" w:hAnsi="宋体" w:eastAsia="宋体"/>
          <w:color w:val="auto"/>
          <w:kern w:val="44"/>
          <w:highlight w:val="none"/>
        </w:rPr>
        <w:t xml:space="preserve"> </w:t>
      </w:r>
      <w:r>
        <w:rPr>
          <w:rStyle w:val="32"/>
          <w:rFonts w:hint="eastAsia" w:ascii="宋体" w:hAnsi="宋体" w:eastAsia="宋体"/>
          <w:color w:val="auto"/>
          <w:kern w:val="44"/>
          <w:highlight w:val="none"/>
        </w:rPr>
        <w:t>投标文件格式</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_Toc80020751 \h </w:instrText>
      </w:r>
      <w:r>
        <w:rPr>
          <w:rFonts w:ascii="宋体" w:hAnsi="宋体" w:eastAsia="宋体"/>
          <w:color w:val="auto"/>
          <w:highlight w:val="none"/>
        </w:rPr>
        <w:fldChar w:fldCharType="separate"/>
      </w:r>
      <w:r>
        <w:rPr>
          <w:rFonts w:ascii="宋体" w:hAnsi="宋体" w:eastAsia="宋体"/>
          <w:color w:val="auto"/>
          <w:highlight w:val="none"/>
        </w:rPr>
        <w:t>31</w:t>
      </w:r>
      <w:r>
        <w:rPr>
          <w:rFonts w:ascii="宋体" w:hAnsi="宋体" w:eastAsia="宋体"/>
          <w:color w:val="auto"/>
          <w:highlight w:val="none"/>
        </w:rPr>
        <w:fldChar w:fldCharType="end"/>
      </w:r>
      <w:r>
        <w:rPr>
          <w:rFonts w:ascii="宋体" w:hAnsi="宋体" w:eastAsia="宋体"/>
          <w:color w:val="auto"/>
          <w:highlight w:val="none"/>
        </w:rPr>
        <w:fldChar w:fldCharType="end"/>
      </w:r>
    </w:p>
    <w:p>
      <w:pPr>
        <w:widowControl w:val="0"/>
        <w:spacing w:line="360" w:lineRule="auto"/>
        <w:ind w:firstLine="146" w:firstLineChars="52"/>
        <w:jc w:val="center"/>
        <w:rPr>
          <w:rFonts w:ascii="宋体" w:hAnsi="宋体"/>
          <w:color w:val="auto"/>
          <w:sz w:val="28"/>
          <w:szCs w:val="28"/>
          <w:highlight w:val="none"/>
        </w:rPr>
      </w:pPr>
      <w:r>
        <w:rPr>
          <w:rFonts w:ascii="宋体" w:hAnsi="宋体"/>
          <w:b/>
          <w:color w:val="auto"/>
          <w:sz w:val="28"/>
          <w:szCs w:val="28"/>
          <w:highlight w:val="none"/>
        </w:rPr>
        <w:fldChar w:fldCharType="end"/>
      </w:r>
    </w:p>
    <w:p>
      <w:pPr>
        <w:widowControl w:val="0"/>
        <w:spacing w:line="360" w:lineRule="auto"/>
        <w:ind w:firstLine="145" w:firstLineChars="52"/>
        <w:jc w:val="center"/>
        <w:rPr>
          <w:rFonts w:ascii="宋体" w:hAnsi="宋体"/>
          <w:color w:val="auto"/>
          <w:sz w:val="28"/>
          <w:szCs w:val="28"/>
          <w:highlight w:val="none"/>
        </w:rPr>
      </w:pPr>
      <w:r>
        <w:rPr>
          <w:rFonts w:ascii="宋体" w:hAnsi="宋体"/>
          <w:color w:val="auto"/>
          <w:sz w:val="28"/>
          <w:szCs w:val="28"/>
          <w:highlight w:val="none"/>
        </w:rPr>
        <w:br w:type="page"/>
      </w:r>
    </w:p>
    <w:p>
      <w:pPr>
        <w:widowControl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lang w:eastAsia="zh-CN"/>
        </w:rPr>
        <w:t>中山市三乡镇西山社区智慧垃圾分类管理项目</w:t>
      </w:r>
      <w:r>
        <w:rPr>
          <w:rFonts w:hint="eastAsia" w:ascii="宋体" w:hAnsi="宋体"/>
          <w:b/>
          <w:color w:val="auto"/>
          <w:sz w:val="36"/>
          <w:szCs w:val="36"/>
          <w:highlight w:val="none"/>
        </w:rPr>
        <w:t>招标项目</w:t>
      </w:r>
    </w:p>
    <w:p>
      <w:pPr>
        <w:pStyle w:val="2"/>
        <w:ind w:firstLine="188" w:firstLineChars="52"/>
        <w:jc w:val="center"/>
        <w:rPr>
          <w:rFonts w:ascii="宋体" w:hAnsi="宋体"/>
          <w:color w:val="auto"/>
          <w:highlight w:val="none"/>
        </w:rPr>
      </w:pPr>
      <w:bookmarkStart w:id="0" w:name="_Toc80020744"/>
      <w:bookmarkStart w:id="1" w:name="_Toc278985420"/>
      <w:r>
        <w:rPr>
          <w:rFonts w:hint="eastAsia" w:ascii="宋体" w:hAnsi="宋体"/>
          <w:color w:val="auto"/>
          <w:highlight w:val="none"/>
        </w:rPr>
        <w:t>第一章 邀请招标公告</w:t>
      </w:r>
      <w:bookmarkEnd w:id="0"/>
    </w:p>
    <w:p>
      <w:pPr>
        <w:spacing w:line="336" w:lineRule="auto"/>
        <w:rPr>
          <w:rFonts w:ascii="宋体" w:hAnsi="宋体"/>
          <w:b/>
          <w:color w:val="auto"/>
          <w:highlight w:val="none"/>
        </w:rPr>
      </w:pPr>
      <w:bookmarkStart w:id="2" w:name="_Toc184635053"/>
      <w:bookmarkStart w:id="3" w:name="_Toc45126817"/>
      <w:r>
        <w:rPr>
          <w:rFonts w:hint="eastAsia" w:ascii="宋体" w:hAnsi="宋体"/>
          <w:b/>
          <w:color w:val="auto"/>
          <w:highlight w:val="none"/>
        </w:rPr>
        <w:t>1.招标条件</w:t>
      </w:r>
      <w:bookmarkEnd w:id="2"/>
      <w:bookmarkEnd w:id="3"/>
    </w:p>
    <w:p>
      <w:pPr>
        <w:spacing w:line="336" w:lineRule="auto"/>
        <w:ind w:firstLine="480" w:firstLineChars="200"/>
        <w:rPr>
          <w:rFonts w:ascii="宋体" w:hAnsi="宋体"/>
          <w:color w:val="auto"/>
          <w:highlight w:val="none"/>
        </w:rPr>
      </w:pPr>
      <w:r>
        <w:rPr>
          <w:rFonts w:hint="eastAsia" w:ascii="宋体" w:hAnsi="宋体"/>
          <w:color w:val="auto"/>
          <w:highlight w:val="none"/>
        </w:rPr>
        <w:t>本招标项目</w:t>
      </w:r>
      <w:r>
        <w:rPr>
          <w:rFonts w:hint="eastAsia" w:ascii="宋体" w:hAnsi="宋体"/>
          <w:color w:val="auto"/>
          <w:highlight w:val="none"/>
          <w:u w:val="single"/>
          <w:lang w:eastAsia="zh-CN"/>
        </w:rPr>
        <w:t>中山市三乡镇西山社区智慧垃圾分类管理项目</w:t>
      </w:r>
      <w:r>
        <w:rPr>
          <w:rFonts w:hint="eastAsia" w:ascii="宋体" w:hAnsi="宋体"/>
          <w:color w:val="auto"/>
          <w:highlight w:val="none"/>
        </w:rPr>
        <w:t>，项目建设单位为</w:t>
      </w:r>
      <w:r>
        <w:rPr>
          <w:rFonts w:hint="eastAsia" w:ascii="宋体" w:hAnsi="宋体"/>
          <w:color w:val="auto"/>
          <w:highlight w:val="none"/>
          <w:u w:val="single"/>
        </w:rPr>
        <w:t>中山市三乡镇西山社区居民委员会</w:t>
      </w:r>
      <w:r>
        <w:rPr>
          <w:rFonts w:hint="eastAsia" w:ascii="宋体" w:hAnsi="宋体"/>
          <w:color w:val="auto"/>
          <w:highlight w:val="none"/>
        </w:rPr>
        <w:t>，建设资金来自</w:t>
      </w:r>
      <w:r>
        <w:rPr>
          <w:rFonts w:hint="eastAsia" w:ascii="宋体" w:hAnsi="宋体"/>
          <w:color w:val="auto"/>
          <w:highlight w:val="none"/>
          <w:u w:val="single"/>
        </w:rPr>
        <w:t>财政资金</w:t>
      </w:r>
      <w:r>
        <w:rPr>
          <w:rFonts w:hint="eastAsia" w:ascii="宋体" w:hAnsi="宋体"/>
          <w:color w:val="auto"/>
          <w:highlight w:val="none"/>
        </w:rPr>
        <w:t>（资金来源）</w:t>
      </w:r>
      <w:r>
        <w:rPr>
          <w:rFonts w:hint="eastAsia" w:ascii="宋体" w:hAnsi="宋体"/>
          <w:color w:val="auto"/>
          <w:highlight w:val="none"/>
        </w:rPr>
        <w:t>，项目出资比例为</w:t>
      </w:r>
      <w:r>
        <w:rPr>
          <w:rFonts w:hint="eastAsia" w:ascii="宋体" w:hAnsi="宋体"/>
          <w:color w:val="auto"/>
          <w:highlight w:val="none"/>
          <w:u w:val="single"/>
        </w:rPr>
        <w:t>100%</w:t>
      </w:r>
      <w:r>
        <w:rPr>
          <w:rFonts w:hint="eastAsia" w:ascii="宋体" w:hAnsi="宋体"/>
          <w:color w:val="auto"/>
          <w:highlight w:val="none"/>
        </w:rPr>
        <w:t>，招标人为</w:t>
      </w:r>
      <w:r>
        <w:rPr>
          <w:rFonts w:hint="eastAsia" w:ascii="宋体" w:hAnsi="宋体"/>
          <w:color w:val="auto"/>
          <w:highlight w:val="none"/>
          <w:u w:val="single"/>
        </w:rPr>
        <w:t>中山市三乡镇西山社区居民委员会</w:t>
      </w:r>
      <w:r>
        <w:rPr>
          <w:rFonts w:hint="eastAsia" w:ascii="宋体" w:hAnsi="宋体"/>
          <w:color w:val="auto"/>
          <w:highlight w:val="none"/>
        </w:rPr>
        <w:t>。项目已具备招标条件，现对该项目的施工进行邀请招标。欢迎获得邀请的投标单位参与投标。</w:t>
      </w:r>
    </w:p>
    <w:p>
      <w:pPr>
        <w:spacing w:line="336" w:lineRule="auto"/>
        <w:rPr>
          <w:rFonts w:ascii="宋体" w:hAnsi="宋体"/>
          <w:b/>
          <w:color w:val="auto"/>
          <w:highlight w:val="none"/>
        </w:rPr>
      </w:pPr>
      <w:bookmarkStart w:id="4" w:name="_Toc184635054"/>
      <w:bookmarkStart w:id="5" w:name="_Toc45126818"/>
      <w:r>
        <w:rPr>
          <w:rFonts w:hint="eastAsia" w:ascii="宋体" w:hAnsi="宋体"/>
          <w:b/>
          <w:color w:val="auto"/>
          <w:highlight w:val="none"/>
        </w:rPr>
        <w:t>2.项目概况与招标范围</w:t>
      </w:r>
      <w:bookmarkEnd w:id="4"/>
      <w:bookmarkEnd w:id="5"/>
    </w:p>
    <w:p>
      <w:pPr>
        <w:spacing w:line="336" w:lineRule="auto"/>
        <w:rPr>
          <w:rFonts w:ascii="宋体" w:hAnsi="宋体"/>
          <w:color w:val="auto"/>
          <w:highlight w:val="none"/>
        </w:rPr>
      </w:pPr>
      <w:r>
        <w:rPr>
          <w:rFonts w:hint="eastAsia" w:ascii="宋体" w:hAnsi="宋体"/>
          <w:color w:val="auto"/>
          <w:highlight w:val="none"/>
        </w:rPr>
        <w:t>2.1项目概况：</w:t>
      </w:r>
      <w:r>
        <w:rPr>
          <w:rFonts w:hint="eastAsia" w:ascii="宋体" w:hAnsi="宋体"/>
          <w:color w:val="auto"/>
          <w:highlight w:val="none"/>
          <w:u w:val="single"/>
          <w:lang w:eastAsia="zh-CN"/>
        </w:rPr>
        <w:t>中山市三乡镇西山社区智慧垃圾分类管理项目</w:t>
      </w:r>
      <w:r>
        <w:rPr>
          <w:rFonts w:hint="eastAsia" w:ascii="宋体" w:hAnsi="宋体"/>
          <w:color w:val="auto"/>
          <w:highlight w:val="none"/>
        </w:rPr>
        <w:t>，项目编号（</w:t>
      </w:r>
      <w:r>
        <w:rPr>
          <w:rFonts w:hint="eastAsia" w:ascii="新宋体" w:hAnsi="新宋体" w:eastAsia="新宋体"/>
          <w:color w:val="auto"/>
          <w:highlight w:val="none"/>
          <w:lang w:eastAsia="zh-CN"/>
        </w:rPr>
        <w:t>FH2021GC1206</w:t>
      </w:r>
      <w:r>
        <w:rPr>
          <w:rFonts w:hint="eastAsia" w:ascii="新宋体" w:hAnsi="新宋体" w:eastAsia="新宋体"/>
          <w:color w:val="auto"/>
          <w:highlight w:val="none"/>
        </w:rPr>
        <w:t>）</w:t>
      </w:r>
      <w:r>
        <w:rPr>
          <w:rFonts w:hint="eastAsia" w:ascii="宋体" w:hAnsi="宋体"/>
          <w:color w:val="auto"/>
          <w:highlight w:val="none"/>
        </w:rPr>
        <w:t>位于中山市三乡镇，主要工程内容为</w:t>
      </w:r>
      <w:r>
        <w:rPr>
          <w:rFonts w:hint="eastAsia" w:ascii="宋体" w:hAnsi="宋体"/>
          <w:color w:val="auto"/>
          <w:highlight w:val="none"/>
          <w:u w:val="single"/>
          <w:lang w:eastAsia="zh-CN"/>
        </w:rPr>
        <w:t>智慧垃圾分类管理项目</w:t>
      </w:r>
      <w:r>
        <w:rPr>
          <w:rFonts w:hint="eastAsia" w:ascii="宋体" w:hAnsi="宋体"/>
          <w:color w:val="auto"/>
          <w:highlight w:val="none"/>
        </w:rPr>
        <w:t>。中介预算价为</w:t>
      </w:r>
      <w:r>
        <w:rPr>
          <w:rFonts w:hint="eastAsia" w:ascii="宋体" w:hAnsi="宋体"/>
          <w:color w:val="auto"/>
          <w:highlight w:val="none"/>
        </w:rPr>
        <w:t>¥834</w:t>
      </w:r>
      <w:r>
        <w:rPr>
          <w:rFonts w:hint="eastAsia" w:ascii="宋体" w:hAnsi="宋体"/>
          <w:color w:val="auto"/>
          <w:highlight w:val="none"/>
          <w:lang w:val="en-US" w:eastAsia="zh-CN"/>
        </w:rPr>
        <w:t>,</w:t>
      </w:r>
      <w:r>
        <w:rPr>
          <w:rFonts w:hint="eastAsia" w:ascii="宋体" w:hAnsi="宋体"/>
          <w:color w:val="auto"/>
          <w:highlight w:val="none"/>
        </w:rPr>
        <w:t>786.71元。</w:t>
      </w:r>
      <w:r>
        <w:rPr>
          <w:rFonts w:hint="eastAsia" w:ascii="宋体" w:hAnsi="宋体"/>
          <w:color w:val="auto"/>
          <w:highlight w:val="none"/>
        </w:rPr>
        <w:t>计划工期35个日历天</w:t>
      </w:r>
      <w:r>
        <w:rPr>
          <w:rFonts w:hint="eastAsia" w:ascii="宋体" w:hAnsi="宋体"/>
          <w:color w:val="auto"/>
          <w:highlight w:val="none"/>
        </w:rPr>
        <w:t>。</w:t>
      </w:r>
    </w:p>
    <w:p>
      <w:pPr>
        <w:spacing w:line="336" w:lineRule="auto"/>
        <w:rPr>
          <w:rFonts w:ascii="宋体" w:hAnsi="宋体"/>
          <w:color w:val="auto"/>
          <w:highlight w:val="none"/>
        </w:rPr>
      </w:pPr>
      <w:r>
        <w:rPr>
          <w:rFonts w:hint="eastAsia" w:ascii="宋体" w:hAnsi="宋体"/>
          <w:color w:val="auto"/>
          <w:highlight w:val="none"/>
        </w:rPr>
        <w:t>2.2招标范围：</w:t>
      </w:r>
    </w:p>
    <w:p>
      <w:pPr>
        <w:spacing w:line="336" w:lineRule="auto"/>
        <w:ind w:firstLine="480" w:firstLineChars="200"/>
        <w:rPr>
          <w:rFonts w:ascii="宋体" w:hAnsi="宋体"/>
          <w:color w:val="auto"/>
          <w:highlight w:val="none"/>
        </w:rPr>
      </w:pPr>
      <w:r>
        <w:rPr>
          <w:rFonts w:hint="eastAsia" w:ascii="宋体" w:hAnsi="宋体"/>
          <w:color w:val="auto"/>
          <w:highlight w:val="none"/>
        </w:rPr>
        <w:t>本次招标主要建设内容包括</w:t>
      </w:r>
      <w:r>
        <w:rPr>
          <w:rFonts w:hint="eastAsia" w:ascii="宋体" w:hAnsi="宋体"/>
          <w:color w:val="auto"/>
          <w:highlight w:val="none"/>
          <w:u w:val="single"/>
          <w:lang w:eastAsia="zh-CN"/>
        </w:rPr>
        <w:t>智慧垃圾分类管理项目</w:t>
      </w:r>
      <w:r>
        <w:rPr>
          <w:rFonts w:hint="eastAsia" w:ascii="宋体" w:hAnsi="宋体"/>
          <w:color w:val="auto"/>
          <w:highlight w:val="none"/>
        </w:rPr>
        <w:t>，具体以建设单位提供的施工图纸和工程量清单及有关资料的内容为准，所有调整和变更项目施工单位不得拒绝承担。</w:t>
      </w:r>
      <w:r>
        <w:rPr>
          <w:rFonts w:ascii="宋体" w:hAnsi="宋体"/>
          <w:color w:val="auto"/>
          <w:highlight w:val="none"/>
        </w:rPr>
        <w:t>投标单位应自行复算。</w:t>
      </w:r>
    </w:p>
    <w:p>
      <w:pPr>
        <w:spacing w:line="336" w:lineRule="auto"/>
        <w:rPr>
          <w:rFonts w:ascii="宋体" w:hAnsi="宋体"/>
          <w:color w:val="auto"/>
          <w:szCs w:val="21"/>
          <w:highlight w:val="none"/>
        </w:rPr>
      </w:pPr>
      <w:r>
        <w:rPr>
          <w:rFonts w:hint="eastAsia" w:ascii="宋体" w:hAnsi="宋体"/>
          <w:color w:val="auto"/>
          <w:highlight w:val="none"/>
        </w:rPr>
        <w:t xml:space="preserve">2.3  </w:t>
      </w:r>
      <w:r>
        <w:rPr>
          <w:rFonts w:hint="eastAsia" w:ascii="宋体" w:hAnsi="宋体"/>
          <w:color w:val="auto"/>
          <w:highlight w:val="none"/>
        </w:rPr>
        <w:t>本工程以中介预算价下浮8%作为</w:t>
      </w:r>
      <w:r>
        <w:rPr>
          <w:rFonts w:hint="eastAsia" w:ascii="宋体" w:hAnsi="宋体"/>
          <w:color w:val="auto"/>
          <w:szCs w:val="21"/>
          <w:highlight w:val="none"/>
        </w:rPr>
        <w:t>投标报价上限价，即投标报价上限价=</w:t>
      </w:r>
      <w:r>
        <w:rPr>
          <w:rFonts w:hint="eastAsia" w:ascii="宋体" w:hAnsi="宋体"/>
          <w:color w:val="auto"/>
          <w:highlight w:val="none"/>
          <w:u w:val="single"/>
        </w:rPr>
        <w:t>¥834</w:t>
      </w:r>
      <w:r>
        <w:rPr>
          <w:rFonts w:hint="eastAsia" w:ascii="宋体" w:hAnsi="宋体"/>
          <w:color w:val="auto"/>
          <w:highlight w:val="none"/>
          <w:u w:val="single"/>
          <w:lang w:val="en-US" w:eastAsia="zh-CN"/>
        </w:rPr>
        <w:t>,</w:t>
      </w:r>
      <w:r>
        <w:rPr>
          <w:rFonts w:hint="eastAsia" w:ascii="宋体" w:hAnsi="宋体"/>
          <w:color w:val="auto"/>
          <w:highlight w:val="none"/>
          <w:u w:val="single"/>
        </w:rPr>
        <w:t>786.71元×（1-8%）=¥7</w:t>
      </w:r>
      <w:r>
        <w:rPr>
          <w:rFonts w:hint="eastAsia" w:ascii="宋体" w:hAnsi="宋体"/>
          <w:color w:val="auto"/>
          <w:highlight w:val="none"/>
          <w:u w:val="single"/>
          <w:lang w:val="en-US" w:eastAsia="zh-CN"/>
        </w:rPr>
        <w:t>68</w:t>
      </w:r>
      <w:r>
        <w:rPr>
          <w:rFonts w:hint="eastAsia" w:ascii="宋体" w:hAnsi="宋体"/>
          <w:color w:val="auto"/>
          <w:highlight w:val="none"/>
          <w:u w:val="single"/>
        </w:rPr>
        <w:t>,</w:t>
      </w:r>
      <w:r>
        <w:rPr>
          <w:rFonts w:hint="eastAsia" w:ascii="宋体" w:hAnsi="宋体"/>
          <w:color w:val="auto"/>
          <w:highlight w:val="none"/>
          <w:u w:val="single"/>
          <w:lang w:val="en-US" w:eastAsia="zh-CN"/>
        </w:rPr>
        <w:t>003</w:t>
      </w:r>
      <w:r>
        <w:rPr>
          <w:rFonts w:hint="eastAsia" w:ascii="宋体" w:hAnsi="宋体"/>
          <w:color w:val="auto"/>
          <w:highlight w:val="none"/>
          <w:u w:val="single"/>
        </w:rPr>
        <w:t>.</w:t>
      </w:r>
      <w:r>
        <w:rPr>
          <w:rFonts w:hint="eastAsia" w:ascii="宋体" w:hAnsi="宋体"/>
          <w:color w:val="auto"/>
          <w:highlight w:val="none"/>
          <w:u w:val="single"/>
          <w:lang w:val="en-US" w:eastAsia="zh-CN"/>
        </w:rPr>
        <w:t>77</w:t>
      </w:r>
      <w:r>
        <w:rPr>
          <w:rFonts w:hint="eastAsia" w:ascii="宋体" w:hAnsi="宋体"/>
          <w:color w:val="auto"/>
          <w:highlight w:val="none"/>
          <w:u w:val="single"/>
        </w:rPr>
        <w:t>元</w:t>
      </w:r>
      <w:r>
        <w:rPr>
          <w:rFonts w:hint="eastAsia" w:ascii="宋体" w:hAnsi="宋体"/>
          <w:color w:val="auto"/>
          <w:szCs w:val="21"/>
          <w:highlight w:val="none"/>
        </w:rPr>
        <w:t>。</w:t>
      </w:r>
    </w:p>
    <w:p>
      <w:pPr>
        <w:spacing w:line="336" w:lineRule="auto"/>
        <w:ind w:firstLine="480" w:firstLineChars="200"/>
        <w:rPr>
          <w:rFonts w:ascii="宋体" w:hAnsi="宋体"/>
          <w:color w:val="auto"/>
          <w:szCs w:val="21"/>
          <w:highlight w:val="none"/>
        </w:rPr>
      </w:pPr>
      <w:r>
        <w:rPr>
          <w:rFonts w:hint="eastAsia" w:ascii="宋体" w:hAnsi="宋体"/>
          <w:color w:val="auto"/>
          <w:szCs w:val="21"/>
          <w:highlight w:val="none"/>
        </w:rPr>
        <w:t>本工程绿色施工安全防护措施费为：</w:t>
      </w:r>
      <w:r>
        <w:rPr>
          <w:rFonts w:hint="eastAsia" w:ascii="宋体" w:hAnsi="宋体"/>
          <w:color w:val="auto"/>
          <w:highlight w:val="none"/>
          <w:u w:val="single"/>
        </w:rPr>
        <w:t>¥</w:t>
      </w:r>
      <w:r>
        <w:rPr>
          <w:rFonts w:hint="eastAsia" w:ascii="宋体" w:hAnsi="宋体"/>
          <w:color w:val="auto"/>
          <w:szCs w:val="21"/>
          <w:highlight w:val="none"/>
          <w:u w:val="single"/>
        </w:rPr>
        <w:t>15259.69</w:t>
      </w:r>
      <w:r>
        <w:rPr>
          <w:rFonts w:hint="eastAsia" w:ascii="宋体" w:hAnsi="宋体"/>
          <w:color w:val="auto"/>
          <w:highlight w:val="none"/>
          <w:u w:val="single"/>
        </w:rPr>
        <w:t>元</w:t>
      </w:r>
      <w:r>
        <w:rPr>
          <w:rFonts w:hint="eastAsia" w:ascii="宋体" w:hAnsi="宋体"/>
          <w:color w:val="auto"/>
          <w:szCs w:val="21"/>
          <w:highlight w:val="none"/>
        </w:rPr>
        <w:t>（税前）</w:t>
      </w:r>
      <w:r>
        <w:rPr>
          <w:rFonts w:hint="eastAsia" w:ascii="宋体" w:hAnsi="宋体"/>
          <w:color w:val="auto"/>
          <w:szCs w:val="21"/>
          <w:highlight w:val="none"/>
        </w:rPr>
        <w:t>，投标报价超出投标报价上限价的或绿色施工安全防护措施费小于本工程招标控制价中绿色施工安全防护措施费的作废标处理。</w:t>
      </w:r>
    </w:p>
    <w:p>
      <w:pPr>
        <w:spacing w:line="336" w:lineRule="auto"/>
        <w:rPr>
          <w:rFonts w:ascii="宋体" w:hAnsi="宋体"/>
          <w:color w:val="auto"/>
          <w:szCs w:val="21"/>
          <w:highlight w:val="none"/>
        </w:rPr>
      </w:pPr>
      <w:r>
        <w:rPr>
          <w:rFonts w:hint="eastAsia" w:ascii="宋体" w:hAnsi="宋体"/>
          <w:color w:val="auto"/>
          <w:szCs w:val="21"/>
          <w:highlight w:val="none"/>
        </w:rPr>
        <w:t>2.4评标办法：经评审的最低投标价法。</w:t>
      </w:r>
    </w:p>
    <w:p>
      <w:pPr>
        <w:spacing w:line="336" w:lineRule="auto"/>
        <w:rPr>
          <w:rFonts w:ascii="宋体" w:hAnsi="宋体"/>
          <w:b/>
          <w:color w:val="auto"/>
          <w:highlight w:val="none"/>
        </w:rPr>
      </w:pPr>
      <w:bookmarkStart w:id="6" w:name="_Toc45126819"/>
      <w:bookmarkStart w:id="7" w:name="_Toc184635055"/>
      <w:r>
        <w:rPr>
          <w:rFonts w:hint="eastAsia" w:ascii="宋体" w:hAnsi="宋体"/>
          <w:b/>
          <w:color w:val="auto"/>
          <w:highlight w:val="none"/>
        </w:rPr>
        <w:t>3.投标人资格要求</w:t>
      </w:r>
      <w:bookmarkEnd w:id="6"/>
      <w:bookmarkEnd w:id="7"/>
    </w:p>
    <w:p>
      <w:pPr>
        <w:spacing w:line="336" w:lineRule="auto"/>
        <w:rPr>
          <w:rFonts w:ascii="宋体" w:hAnsi="宋体" w:cs="Arial"/>
          <w:color w:val="auto"/>
          <w:highlight w:val="none"/>
        </w:rPr>
      </w:pPr>
      <w:r>
        <w:rPr>
          <w:rFonts w:hint="eastAsia" w:ascii="宋体" w:hAnsi="宋体" w:cs="Arial"/>
          <w:color w:val="auto"/>
          <w:highlight w:val="none"/>
        </w:rPr>
        <w:t>3.1</w:t>
      </w:r>
      <w:r>
        <w:rPr>
          <w:rFonts w:ascii="宋体" w:hAnsi="宋体" w:cs="Arial"/>
          <w:color w:val="auto"/>
          <w:highlight w:val="none"/>
        </w:rPr>
        <w:t>具有市场监督管理部门确定的具有独立法人资格的企业</w:t>
      </w:r>
      <w:r>
        <w:rPr>
          <w:rFonts w:hint="eastAsia" w:ascii="宋体" w:hAnsi="宋体" w:cs="Arial"/>
          <w:color w:val="auto"/>
          <w:highlight w:val="none"/>
        </w:rPr>
        <w:t>；</w:t>
      </w:r>
    </w:p>
    <w:p>
      <w:pPr>
        <w:pStyle w:val="26"/>
        <w:spacing w:before="0" w:beforeAutospacing="0" w:after="0" w:afterAutospacing="0" w:line="336" w:lineRule="auto"/>
        <w:rPr>
          <w:rFonts w:cs="Times New Roman"/>
          <w:b/>
          <w:color w:val="auto"/>
          <w:kern w:val="2"/>
          <w:highlight w:val="none"/>
        </w:rPr>
      </w:pPr>
      <w:bookmarkStart w:id="8" w:name="_Toc184635056"/>
      <w:r>
        <w:rPr>
          <w:rFonts w:hint="eastAsia" w:cs="Times New Roman"/>
          <w:b/>
          <w:color w:val="auto"/>
          <w:kern w:val="2"/>
          <w:highlight w:val="none"/>
        </w:rPr>
        <w:t>3.2</w:t>
      </w:r>
      <w:r>
        <w:rPr>
          <w:rFonts w:hint="eastAsia"/>
          <w:color w:val="auto"/>
          <w:highlight w:val="none"/>
        </w:rPr>
        <w:t>投标人须具有有效的</w:t>
      </w:r>
      <w:r>
        <w:rPr>
          <w:rFonts w:hint="eastAsia"/>
          <w:color w:val="auto"/>
          <w:highlight w:val="none"/>
          <w:lang w:eastAsia="zh-CN"/>
        </w:rPr>
        <w:t>电子与智能化工程专业承包二级或以上</w:t>
      </w:r>
      <w:r>
        <w:rPr>
          <w:rFonts w:hint="eastAsia"/>
          <w:color w:val="auto"/>
          <w:highlight w:val="none"/>
        </w:rPr>
        <w:t>资质，并具有有效期内的安全生产许可证（提供资质证书和安全生产许可证复印件并加盖公章, 如安全生产许可证为电子证书，提供含有行政审批部门专用章电子签章及二维码的安全生产许可证文件。）</w:t>
      </w:r>
    </w:p>
    <w:p>
      <w:pPr>
        <w:pStyle w:val="26"/>
        <w:spacing w:before="0" w:beforeAutospacing="0" w:after="0" w:afterAutospacing="0" w:line="336" w:lineRule="auto"/>
        <w:rPr>
          <w:rFonts w:cs="Times New Roman"/>
          <w:color w:val="auto"/>
          <w:kern w:val="2"/>
          <w:highlight w:val="none"/>
        </w:rPr>
      </w:pPr>
      <w:r>
        <w:rPr>
          <w:rFonts w:hint="eastAsia" w:cs="Times New Roman"/>
          <w:color w:val="auto"/>
          <w:kern w:val="2"/>
          <w:highlight w:val="none"/>
        </w:rPr>
        <w:t>3.3其他要求：具有招标人发出的投标邀请函。</w:t>
      </w:r>
    </w:p>
    <w:p>
      <w:pPr>
        <w:pStyle w:val="26"/>
        <w:spacing w:before="0" w:beforeAutospacing="0" w:after="0" w:afterAutospacing="0" w:line="336" w:lineRule="auto"/>
        <w:rPr>
          <w:rFonts w:cs="Times New Roman"/>
          <w:color w:val="auto"/>
          <w:kern w:val="2"/>
          <w:highlight w:val="none"/>
        </w:rPr>
      </w:pPr>
      <w:r>
        <w:rPr>
          <w:rFonts w:hint="eastAsia" w:cs="Times New Roman"/>
          <w:color w:val="auto"/>
          <w:kern w:val="2"/>
          <w:highlight w:val="none"/>
        </w:rPr>
        <w:t>3.4本次招标</w:t>
      </w:r>
      <w:r>
        <w:rPr>
          <w:rFonts w:hint="eastAsia" w:cs="Times New Roman"/>
          <w:color w:val="auto"/>
          <w:kern w:val="2"/>
          <w:highlight w:val="none"/>
          <w:u w:val="single"/>
        </w:rPr>
        <w:t xml:space="preserve"> 不接受 </w:t>
      </w:r>
      <w:r>
        <w:rPr>
          <w:rFonts w:hint="eastAsia" w:cs="Times New Roman"/>
          <w:color w:val="auto"/>
          <w:kern w:val="2"/>
          <w:highlight w:val="none"/>
        </w:rPr>
        <w:t>联合体投标。</w:t>
      </w:r>
    </w:p>
    <w:p>
      <w:pPr>
        <w:pStyle w:val="26"/>
        <w:spacing w:before="0" w:beforeAutospacing="0" w:after="0" w:afterAutospacing="0" w:line="336" w:lineRule="auto"/>
        <w:rPr>
          <w:rFonts w:cs="Times New Roman"/>
          <w:color w:val="auto"/>
          <w:kern w:val="2"/>
          <w:highlight w:val="none"/>
        </w:rPr>
      </w:pPr>
      <w:r>
        <w:rPr>
          <w:rFonts w:hint="eastAsia" w:cs="Times New Roman"/>
          <w:color w:val="auto"/>
          <w:kern w:val="2"/>
          <w:highlight w:val="none"/>
        </w:rPr>
        <w:t>3.5各投标人均可就上述标段中的</w:t>
      </w:r>
      <w:r>
        <w:rPr>
          <w:rFonts w:hint="eastAsia" w:cs="Times New Roman"/>
          <w:color w:val="auto"/>
          <w:kern w:val="2"/>
          <w:highlight w:val="none"/>
          <w:u w:val="single"/>
        </w:rPr>
        <w:t xml:space="preserve"> 1 </w:t>
      </w:r>
      <w:r>
        <w:rPr>
          <w:rFonts w:hint="eastAsia" w:cs="Times New Roman"/>
          <w:color w:val="auto"/>
          <w:kern w:val="2"/>
          <w:highlight w:val="none"/>
        </w:rPr>
        <w:t>个标段投标。</w:t>
      </w:r>
    </w:p>
    <w:p>
      <w:pPr>
        <w:numPr>
          <w:ilvl w:val="0"/>
          <w:numId w:val="1"/>
        </w:numPr>
        <w:spacing w:line="336" w:lineRule="auto"/>
        <w:rPr>
          <w:rFonts w:ascii="宋体" w:hAnsi="宋体"/>
          <w:b/>
          <w:color w:val="auto"/>
          <w:highlight w:val="none"/>
        </w:rPr>
      </w:pPr>
      <w:r>
        <w:rPr>
          <w:rFonts w:hint="eastAsia" w:ascii="宋体" w:hAnsi="宋体"/>
          <w:b/>
          <w:color w:val="auto"/>
          <w:highlight w:val="none"/>
        </w:rPr>
        <w:t>招标文件的获取</w:t>
      </w:r>
      <w:bookmarkEnd w:id="8"/>
    </w:p>
    <w:p>
      <w:pPr>
        <w:spacing w:line="336" w:lineRule="auto"/>
        <w:ind w:firstLine="566" w:firstLineChars="236"/>
        <w:rPr>
          <w:rFonts w:ascii="宋体" w:hAnsi="宋体" w:cs="宋体"/>
          <w:color w:val="auto"/>
          <w:highlight w:val="none"/>
        </w:rPr>
      </w:pPr>
      <w:bookmarkStart w:id="9" w:name="_Toc184635057"/>
      <w:bookmarkStart w:id="10" w:name="_Toc184635058"/>
      <w:r>
        <w:rPr>
          <w:rFonts w:hint="eastAsia" w:ascii="宋体" w:hAnsi="宋体"/>
          <w:color w:val="auto"/>
          <w:highlight w:val="none"/>
        </w:rPr>
        <w:t>邀请招标公告发出后，投标人应在</w:t>
      </w:r>
      <w:r>
        <w:rPr>
          <w:rFonts w:hint="eastAsia" w:ascii="宋体" w:hAnsi="宋体"/>
          <w:color w:val="auto"/>
          <w:highlight w:val="none"/>
          <w:u w:val="single"/>
        </w:rPr>
        <w:t>2021年12月</w:t>
      </w:r>
      <w:r>
        <w:rPr>
          <w:rFonts w:hint="eastAsia" w:ascii="宋体" w:hAnsi="宋体"/>
          <w:color w:val="auto"/>
          <w:highlight w:val="none"/>
          <w:u w:val="single"/>
          <w:lang w:val="en-US" w:eastAsia="zh-CN"/>
        </w:rPr>
        <w:t>10</w:t>
      </w:r>
      <w:r>
        <w:rPr>
          <w:rFonts w:hint="eastAsia" w:ascii="宋体" w:hAnsi="宋体"/>
          <w:color w:val="auto"/>
          <w:highlight w:val="none"/>
          <w:u w:val="single"/>
        </w:rPr>
        <w:t>日</w:t>
      </w:r>
      <w:r>
        <w:rPr>
          <w:rFonts w:hint="eastAsia" w:ascii="宋体" w:hAnsi="宋体"/>
          <w:color w:val="auto"/>
          <w:highlight w:val="none"/>
        </w:rPr>
        <w:t>至</w:t>
      </w:r>
      <w:r>
        <w:rPr>
          <w:rFonts w:hint="eastAsia" w:ascii="宋体" w:hAnsi="宋体"/>
          <w:color w:val="auto"/>
          <w:highlight w:val="none"/>
          <w:u w:val="single"/>
        </w:rPr>
        <w:t>2021年12月</w:t>
      </w:r>
      <w:r>
        <w:rPr>
          <w:rFonts w:hint="eastAsia" w:ascii="宋体" w:hAnsi="宋体"/>
          <w:color w:val="auto"/>
          <w:highlight w:val="none"/>
          <w:u w:val="single"/>
          <w:lang w:val="en-US" w:eastAsia="zh-CN"/>
        </w:rPr>
        <w:t>16</w:t>
      </w:r>
      <w:r>
        <w:rPr>
          <w:rFonts w:hint="eastAsia" w:ascii="宋体" w:hAnsi="宋体"/>
          <w:color w:val="auto"/>
          <w:highlight w:val="none"/>
          <w:u w:val="single"/>
        </w:rPr>
        <w:t>日</w:t>
      </w:r>
      <w:r>
        <w:rPr>
          <w:rFonts w:hint="eastAsia" w:ascii="宋体" w:hAnsi="宋体"/>
          <w:color w:val="auto"/>
          <w:highlight w:val="none"/>
        </w:rPr>
        <w:t>17时30分止，时间</w:t>
      </w:r>
      <w:r>
        <w:rPr>
          <w:rFonts w:hint="eastAsia" w:ascii="宋体" w:hAnsi="宋体"/>
          <w:color w:val="auto"/>
          <w:highlight w:val="none"/>
          <w:u w:val="single"/>
        </w:rPr>
        <w:t>上午08:30至12:00，下午14:00至17:30（北京时间，法定节假日除外）</w:t>
      </w:r>
      <w:r>
        <w:rPr>
          <w:rFonts w:hint="eastAsia" w:ascii="宋体" w:hAnsi="宋体" w:cs="宋体"/>
          <w:color w:val="auto"/>
          <w:highlight w:val="none"/>
        </w:rPr>
        <w:t>，在</w:t>
      </w:r>
      <w:r>
        <w:rPr>
          <w:rFonts w:hint="eastAsia" w:ascii="宋体" w:hAnsi="宋体" w:cs="宋体"/>
          <w:color w:val="auto"/>
          <w:highlight w:val="none"/>
          <w:u w:val="single"/>
        </w:rPr>
        <w:t>中山市东区长江路33号汉宏盈基商务中心406室（方禾（广东）项目管理有限公司）</w:t>
      </w:r>
      <w:r>
        <w:rPr>
          <w:rFonts w:hint="eastAsia" w:ascii="宋体" w:hAnsi="宋体" w:cs="宋体"/>
          <w:color w:val="auto"/>
          <w:highlight w:val="none"/>
        </w:rPr>
        <w:t xml:space="preserve">获取招标文件。 </w:t>
      </w:r>
    </w:p>
    <w:p>
      <w:pPr>
        <w:spacing w:line="336" w:lineRule="auto"/>
        <w:ind w:firstLine="420" w:firstLineChars="175"/>
        <w:rPr>
          <w:rFonts w:ascii="宋体" w:hAnsi="宋体" w:cs="宋体"/>
          <w:color w:val="auto"/>
          <w:highlight w:val="none"/>
        </w:rPr>
      </w:pPr>
      <w:r>
        <w:rPr>
          <w:rFonts w:hint="eastAsia" w:ascii="宋体" w:hAnsi="宋体" w:cs="宋体"/>
          <w:color w:val="auto"/>
          <w:highlight w:val="none"/>
        </w:rPr>
        <w:t>（1）获取招标文件时提交的资料：1）有效的营业执照副本复印件；2）经办人有效身份证复印件，以上所有复印件请加盖公章。</w:t>
      </w:r>
    </w:p>
    <w:p>
      <w:pPr>
        <w:spacing w:line="336" w:lineRule="auto"/>
        <w:ind w:firstLine="420" w:firstLineChars="175"/>
        <w:rPr>
          <w:rFonts w:ascii="宋体" w:hAnsi="宋体" w:cs="宋体"/>
          <w:color w:val="auto"/>
          <w:highlight w:val="none"/>
        </w:rPr>
      </w:pPr>
      <w:r>
        <w:rPr>
          <w:rFonts w:hint="eastAsia" w:ascii="宋体" w:hAnsi="宋体" w:cs="宋体"/>
          <w:color w:val="auto"/>
          <w:highlight w:val="none"/>
        </w:rPr>
        <w:t>（2）获取招标文件方式：投标人应当在规定时间内递交资料及获取招</w:t>
      </w:r>
      <w:r>
        <w:rPr>
          <w:rFonts w:hint="eastAsia" w:ascii="宋体" w:hAnsi="宋体"/>
          <w:bCs/>
          <w:color w:val="auto"/>
          <w:highlight w:val="none"/>
        </w:rPr>
        <w:t>标文件费用400元</w:t>
      </w:r>
      <w:r>
        <w:rPr>
          <w:rFonts w:hint="eastAsia" w:ascii="宋体" w:hAnsi="宋体" w:cs="宋体"/>
          <w:color w:val="auto"/>
          <w:highlight w:val="none"/>
        </w:rPr>
        <w:t>并领取招标文件。</w:t>
      </w:r>
    </w:p>
    <w:p>
      <w:pPr>
        <w:spacing w:line="336" w:lineRule="auto"/>
        <w:rPr>
          <w:rFonts w:ascii="宋体" w:hAnsi="宋体"/>
          <w:b/>
          <w:color w:val="auto"/>
          <w:highlight w:val="none"/>
        </w:rPr>
      </w:pPr>
      <w:r>
        <w:rPr>
          <w:rFonts w:hint="eastAsia" w:ascii="宋体" w:hAnsi="宋体"/>
          <w:b/>
          <w:color w:val="auto"/>
          <w:highlight w:val="none"/>
        </w:rPr>
        <w:t>5.招标答疑</w:t>
      </w:r>
    </w:p>
    <w:p>
      <w:pPr>
        <w:spacing w:line="336" w:lineRule="auto"/>
        <w:ind w:firstLine="480" w:firstLineChars="200"/>
        <w:rPr>
          <w:rFonts w:ascii="宋体" w:hAnsi="宋体" w:cs="宋体"/>
          <w:color w:val="auto"/>
          <w:highlight w:val="none"/>
        </w:rPr>
      </w:pPr>
      <w:r>
        <w:rPr>
          <w:rFonts w:hint="eastAsia" w:ascii="宋体" w:hAnsi="宋体" w:cs="宋体"/>
          <w:color w:val="auto"/>
          <w:highlight w:val="none"/>
        </w:rPr>
        <w:t>各投标单位将有关问题以书面或者邮件发送扫描件的形式提供至招标代理机构；答疑文件将以书面形式发给所有投标人单位，但不指明答疑问题的来源。（联系人：刘小姐 ，联系电话：</w:t>
      </w:r>
      <w:r>
        <w:rPr>
          <w:rFonts w:ascii="宋体" w:hAnsi="宋体" w:cs="宋体"/>
          <w:color w:val="auto"/>
          <w:highlight w:val="none"/>
          <w:u w:val="single"/>
        </w:rPr>
        <w:t>0760-86937513</w:t>
      </w:r>
      <w:r>
        <w:rPr>
          <w:rFonts w:hint="eastAsia" w:ascii="宋体" w:hAnsi="宋体" w:cs="宋体"/>
          <w:color w:val="auto"/>
          <w:highlight w:val="none"/>
        </w:rPr>
        <w:t>，邮箱：</w:t>
      </w:r>
      <w:r>
        <w:rPr>
          <w:rFonts w:ascii="宋体" w:hAnsi="宋体" w:cs="宋体"/>
          <w:color w:val="auto"/>
          <w:highlight w:val="none"/>
          <w:u w:val="single"/>
        </w:rPr>
        <w:t>fhxmgl@163.com</w:t>
      </w:r>
      <w:r>
        <w:rPr>
          <w:rFonts w:hint="eastAsia" w:ascii="宋体" w:hAnsi="宋体" w:cs="宋体"/>
          <w:color w:val="auto"/>
          <w:highlight w:val="none"/>
          <w:u w:val="single"/>
        </w:rPr>
        <w:t>，</w:t>
      </w:r>
      <w:r>
        <w:rPr>
          <w:rFonts w:hint="eastAsia" w:ascii="宋体" w:hAnsi="宋体" w:cs="宋体"/>
          <w:color w:val="auto"/>
          <w:highlight w:val="none"/>
        </w:rPr>
        <w:t>地址：</w:t>
      </w:r>
      <w:r>
        <w:rPr>
          <w:rFonts w:hint="eastAsia" w:ascii="宋体" w:hAnsi="宋体"/>
          <w:bCs/>
          <w:color w:val="auto"/>
          <w:highlight w:val="none"/>
          <w:u w:val="single"/>
        </w:rPr>
        <w:t>中山市东区长江路33号汉宏盈基商务中心406室，方禾（广东）项目管理有限公司</w:t>
      </w:r>
      <w:r>
        <w:rPr>
          <w:rFonts w:hint="eastAsia" w:ascii="宋体" w:hAnsi="宋体" w:cs="宋体"/>
          <w:color w:val="auto"/>
          <w:highlight w:val="none"/>
        </w:rPr>
        <w:t>）。</w:t>
      </w:r>
    </w:p>
    <w:p>
      <w:pPr>
        <w:spacing w:line="336" w:lineRule="auto"/>
        <w:rPr>
          <w:rFonts w:ascii="宋体" w:hAnsi="宋体"/>
          <w:b/>
          <w:color w:val="auto"/>
          <w:highlight w:val="none"/>
        </w:rPr>
      </w:pPr>
      <w:r>
        <w:rPr>
          <w:rFonts w:hint="eastAsia" w:ascii="宋体" w:hAnsi="宋体"/>
          <w:b/>
          <w:color w:val="auto"/>
          <w:highlight w:val="none"/>
        </w:rPr>
        <w:t>6.投标文件的递交</w:t>
      </w:r>
      <w:bookmarkEnd w:id="9"/>
    </w:p>
    <w:p>
      <w:pPr>
        <w:spacing w:line="336" w:lineRule="auto"/>
        <w:ind w:left="242" w:hanging="242" w:hangingChars="101"/>
        <w:rPr>
          <w:rFonts w:ascii="宋体" w:hAnsi="宋体"/>
          <w:color w:val="auto"/>
          <w:highlight w:val="none"/>
        </w:rPr>
      </w:pPr>
      <w:r>
        <w:rPr>
          <w:rFonts w:hint="eastAsia" w:ascii="宋体" w:hAnsi="宋体"/>
          <w:color w:val="auto"/>
          <w:highlight w:val="none"/>
        </w:rPr>
        <w:t>6.1提交投标文件截止时间：</w:t>
      </w:r>
      <w:r>
        <w:rPr>
          <w:rFonts w:hint="eastAsia" w:ascii="宋体" w:hAnsi="宋体"/>
          <w:color w:val="auto"/>
          <w:highlight w:val="none"/>
          <w:u w:val="single"/>
        </w:rPr>
        <w:t>2021年</w:t>
      </w:r>
      <w:r>
        <w:rPr>
          <w:rFonts w:hint="eastAsia" w:ascii="宋体" w:hAnsi="宋体"/>
          <w:color w:val="auto"/>
          <w:highlight w:val="none"/>
          <w:u w:val="single"/>
          <w:lang w:val="en-US" w:eastAsia="zh-CN"/>
        </w:rPr>
        <w:t>12</w:t>
      </w:r>
      <w:r>
        <w:rPr>
          <w:rFonts w:hint="eastAsia" w:ascii="宋体" w:hAnsi="宋体"/>
          <w:color w:val="auto"/>
          <w:highlight w:val="none"/>
          <w:u w:val="single"/>
        </w:rPr>
        <w:t>月</w:t>
      </w:r>
      <w:r>
        <w:rPr>
          <w:rFonts w:hint="eastAsia" w:ascii="宋体" w:hAnsi="宋体"/>
          <w:color w:val="auto"/>
          <w:highlight w:val="none"/>
          <w:u w:val="single"/>
          <w:lang w:val="en-US" w:eastAsia="zh-CN"/>
        </w:rPr>
        <w:t>22</w:t>
      </w:r>
      <w:r>
        <w:rPr>
          <w:rFonts w:hint="eastAsia" w:ascii="宋体" w:hAnsi="宋体"/>
          <w:color w:val="auto"/>
          <w:highlight w:val="none"/>
          <w:u w:val="single"/>
        </w:rPr>
        <w:t>日</w:t>
      </w:r>
      <w:r>
        <w:rPr>
          <w:rFonts w:hint="eastAsia" w:ascii="宋体" w:hAnsi="宋体"/>
          <w:color w:val="auto"/>
          <w:highlight w:val="none"/>
          <w:u w:val="single"/>
          <w:lang w:val="en-US" w:eastAsia="zh-CN"/>
        </w:rPr>
        <w:t>14</w:t>
      </w:r>
      <w:r>
        <w:rPr>
          <w:rFonts w:hint="eastAsia" w:ascii="宋体" w:hAnsi="宋体"/>
          <w:color w:val="auto"/>
          <w:highlight w:val="none"/>
          <w:u w:val="single"/>
        </w:rPr>
        <w:t>时</w:t>
      </w:r>
      <w:r>
        <w:rPr>
          <w:rFonts w:hint="eastAsia" w:ascii="宋体" w:hAnsi="宋体"/>
          <w:color w:val="auto"/>
          <w:highlight w:val="none"/>
          <w:u w:val="single"/>
          <w:lang w:val="en-US" w:eastAsia="zh-CN"/>
        </w:rPr>
        <w:t>30</w:t>
      </w:r>
      <w:r>
        <w:rPr>
          <w:rFonts w:hint="eastAsia" w:ascii="宋体" w:hAnsi="宋体"/>
          <w:color w:val="auto"/>
          <w:highlight w:val="none"/>
          <w:u w:val="single"/>
        </w:rPr>
        <w:t>分</w:t>
      </w:r>
      <w:r>
        <w:rPr>
          <w:rFonts w:hint="eastAsia" w:ascii="宋体" w:hAnsi="宋体"/>
          <w:color w:val="auto"/>
          <w:highlight w:val="none"/>
        </w:rPr>
        <w:t>（北京时间）（注：</w:t>
      </w:r>
      <w:r>
        <w:rPr>
          <w:rFonts w:hint="eastAsia" w:ascii="宋体" w:hAnsi="宋体"/>
          <w:color w:val="auto"/>
          <w:highlight w:val="none"/>
          <w:u w:val="single"/>
        </w:rPr>
        <w:t>2021年</w:t>
      </w:r>
      <w:r>
        <w:rPr>
          <w:rFonts w:hint="eastAsia" w:ascii="宋体" w:hAnsi="宋体"/>
          <w:color w:val="auto"/>
          <w:highlight w:val="none"/>
          <w:u w:val="single"/>
          <w:lang w:val="en-US" w:eastAsia="zh-CN"/>
        </w:rPr>
        <w:t>12</w:t>
      </w:r>
      <w:r>
        <w:rPr>
          <w:rFonts w:hint="eastAsia" w:ascii="宋体" w:hAnsi="宋体"/>
          <w:color w:val="auto"/>
          <w:highlight w:val="none"/>
          <w:u w:val="single"/>
        </w:rPr>
        <w:t>月</w:t>
      </w:r>
      <w:r>
        <w:rPr>
          <w:rFonts w:hint="eastAsia" w:ascii="宋体" w:hAnsi="宋体"/>
          <w:color w:val="auto"/>
          <w:highlight w:val="none"/>
          <w:u w:val="single"/>
          <w:lang w:val="en-US" w:eastAsia="zh-CN"/>
        </w:rPr>
        <w:t>22</w:t>
      </w:r>
      <w:r>
        <w:rPr>
          <w:rFonts w:hint="eastAsia" w:ascii="宋体" w:hAnsi="宋体"/>
          <w:color w:val="auto"/>
          <w:highlight w:val="none"/>
          <w:u w:val="single"/>
        </w:rPr>
        <w:t>日</w:t>
      </w:r>
      <w:r>
        <w:rPr>
          <w:rFonts w:hint="eastAsia" w:ascii="宋体" w:hAnsi="宋体"/>
          <w:color w:val="auto"/>
          <w:highlight w:val="none"/>
          <w:u w:val="single"/>
          <w:lang w:val="en-US" w:eastAsia="zh-CN"/>
        </w:rPr>
        <w:t>14</w:t>
      </w:r>
      <w:r>
        <w:rPr>
          <w:rFonts w:hint="eastAsia" w:ascii="宋体" w:hAnsi="宋体"/>
          <w:color w:val="auto"/>
          <w:highlight w:val="none"/>
          <w:u w:val="single"/>
        </w:rPr>
        <w:t>时</w:t>
      </w:r>
      <w:r>
        <w:rPr>
          <w:rFonts w:hint="eastAsia" w:ascii="宋体" w:hAnsi="宋体"/>
          <w:color w:val="auto"/>
          <w:highlight w:val="none"/>
          <w:u w:val="single"/>
          <w:lang w:val="en-US" w:eastAsia="zh-CN"/>
        </w:rPr>
        <w:t>00</w:t>
      </w:r>
      <w:r>
        <w:rPr>
          <w:rFonts w:hint="eastAsia" w:ascii="宋体" w:hAnsi="宋体"/>
          <w:color w:val="auto"/>
          <w:highlight w:val="none"/>
          <w:u w:val="single"/>
        </w:rPr>
        <w:t>分</w:t>
      </w:r>
      <w:r>
        <w:rPr>
          <w:rFonts w:hint="eastAsia" w:ascii="宋体" w:hAnsi="宋体"/>
          <w:color w:val="auto"/>
          <w:highlight w:val="none"/>
        </w:rPr>
        <w:t>开始受理投标文件</w:t>
      </w:r>
      <w:r>
        <w:rPr>
          <w:rFonts w:hint="eastAsia" w:ascii="宋体" w:hAnsi="宋体"/>
          <w:color w:val="auto"/>
          <w:highlight w:val="none"/>
        </w:rPr>
        <w:t>）。</w:t>
      </w:r>
    </w:p>
    <w:p>
      <w:pPr>
        <w:spacing w:line="336" w:lineRule="auto"/>
        <w:ind w:left="242" w:hanging="242" w:hangingChars="101"/>
        <w:rPr>
          <w:rFonts w:ascii="宋体" w:hAnsi="宋体"/>
          <w:color w:val="auto"/>
          <w:highlight w:val="none"/>
        </w:rPr>
      </w:pPr>
      <w:r>
        <w:rPr>
          <w:rFonts w:hint="eastAsia" w:ascii="宋体" w:hAnsi="宋体"/>
          <w:color w:val="auto"/>
          <w:highlight w:val="none"/>
        </w:rPr>
        <w:t>6.2提交投标文件地点：中山市东区长江路33号汉宏盈基商务中心406室，方禾（广东）项目管理有限公司。开标地点同提交投标文件地点。</w:t>
      </w:r>
    </w:p>
    <w:p>
      <w:pPr>
        <w:spacing w:line="336" w:lineRule="auto"/>
        <w:ind w:left="242" w:hanging="242" w:hangingChars="101"/>
        <w:rPr>
          <w:rFonts w:ascii="宋体" w:hAnsi="宋体"/>
          <w:color w:val="auto"/>
          <w:highlight w:val="none"/>
        </w:rPr>
      </w:pPr>
      <w:r>
        <w:rPr>
          <w:rFonts w:hint="eastAsia" w:ascii="宋体" w:hAnsi="宋体"/>
          <w:color w:val="auto"/>
          <w:highlight w:val="none"/>
        </w:rPr>
        <w:t>6.3逾期送达的或者未送达指定地点的投标文件将被拒绝。</w:t>
      </w:r>
    </w:p>
    <w:p>
      <w:pPr>
        <w:spacing w:line="336" w:lineRule="auto"/>
        <w:rPr>
          <w:rFonts w:ascii="宋体" w:hAnsi="宋体"/>
          <w:b/>
          <w:color w:val="auto"/>
          <w:highlight w:val="none"/>
        </w:rPr>
      </w:pPr>
      <w:r>
        <w:rPr>
          <w:rFonts w:hint="eastAsia" w:ascii="宋体" w:hAnsi="宋体"/>
          <w:b/>
          <w:color w:val="auto"/>
          <w:highlight w:val="none"/>
        </w:rPr>
        <w:t>7.发出投标邀请函</w:t>
      </w:r>
    </w:p>
    <w:p>
      <w:pPr>
        <w:spacing w:line="336" w:lineRule="auto"/>
        <w:ind w:firstLine="480" w:firstLineChars="200"/>
        <w:rPr>
          <w:rFonts w:ascii="宋体" w:hAnsi="宋体" w:cs="宋体"/>
          <w:color w:val="auto"/>
          <w:highlight w:val="none"/>
        </w:rPr>
      </w:pPr>
      <w:r>
        <w:rPr>
          <w:rFonts w:hint="eastAsia" w:ascii="宋体" w:hAnsi="宋体" w:cs="宋体"/>
          <w:color w:val="auto"/>
          <w:highlight w:val="none"/>
        </w:rPr>
        <w:t>本次招标向被邀请单位发出投标邀请函。</w:t>
      </w:r>
    </w:p>
    <w:bookmarkEnd w:id="10"/>
    <w:p>
      <w:pPr>
        <w:spacing w:line="336" w:lineRule="auto"/>
        <w:rPr>
          <w:rFonts w:ascii="宋体" w:hAnsi="宋体"/>
          <w:b/>
          <w:color w:val="auto"/>
          <w:highlight w:val="none"/>
        </w:rPr>
      </w:pPr>
      <w:r>
        <w:rPr>
          <w:rFonts w:hint="eastAsia" w:ascii="宋体" w:hAnsi="宋体"/>
          <w:b/>
          <w:color w:val="auto"/>
          <w:highlight w:val="none"/>
        </w:rPr>
        <w:t>8.发布公告的媒介</w:t>
      </w:r>
    </w:p>
    <w:p>
      <w:pPr>
        <w:spacing w:line="336" w:lineRule="auto"/>
        <w:ind w:firstLine="480" w:firstLineChars="200"/>
        <w:rPr>
          <w:rFonts w:ascii="宋体" w:hAnsi="宋体"/>
          <w:color w:val="auto"/>
          <w:highlight w:val="none"/>
        </w:rPr>
      </w:pPr>
      <w:r>
        <w:rPr>
          <w:rFonts w:hint="eastAsia" w:ascii="宋体" w:hAnsi="宋体"/>
          <w:color w:val="auto"/>
          <w:highlight w:val="none"/>
        </w:rPr>
        <w:t>本次招标的相关信息公告在</w:t>
      </w:r>
      <w:r>
        <w:rPr>
          <w:rFonts w:hint="eastAsia" w:ascii="宋体" w:hAnsi="宋体"/>
          <w:color w:val="auto"/>
          <w:szCs w:val="21"/>
          <w:highlight w:val="none"/>
        </w:rPr>
        <w:t>招标代理机构网站（http://www.fanghegd.com/）、中山市农村集体三资监管平台官网（http://zsjypt.cwgk.net:8089/）、村务公开栏</w:t>
      </w:r>
      <w:r>
        <w:rPr>
          <w:rFonts w:hint="eastAsia" w:ascii="宋体" w:hAnsi="宋体"/>
          <w:color w:val="auto"/>
          <w:highlight w:val="none"/>
        </w:rPr>
        <w:t>上发布。</w:t>
      </w:r>
    </w:p>
    <w:p>
      <w:pPr>
        <w:spacing w:line="336" w:lineRule="auto"/>
        <w:rPr>
          <w:rFonts w:ascii="宋体" w:hAnsi="宋体"/>
          <w:b/>
          <w:color w:val="auto"/>
          <w:highlight w:val="none"/>
        </w:rPr>
      </w:pPr>
      <w:bookmarkStart w:id="11" w:name="_Toc45126821"/>
      <w:bookmarkStart w:id="12" w:name="_Toc184635059"/>
      <w:r>
        <w:rPr>
          <w:rFonts w:hint="eastAsia" w:ascii="宋体" w:hAnsi="宋体"/>
          <w:b/>
          <w:color w:val="auto"/>
          <w:highlight w:val="none"/>
        </w:rPr>
        <w:t>9.联系方式</w:t>
      </w:r>
      <w:bookmarkEnd w:id="11"/>
      <w:bookmarkEnd w:id="12"/>
    </w:p>
    <w:p>
      <w:pPr>
        <w:spacing w:line="336" w:lineRule="auto"/>
        <w:ind w:left="6605" w:hanging="6604" w:hangingChars="2752"/>
        <w:rPr>
          <w:rFonts w:ascii="宋体" w:hAnsi="宋体"/>
          <w:color w:val="auto"/>
          <w:highlight w:val="none"/>
        </w:rPr>
      </w:pPr>
      <w:r>
        <w:rPr>
          <w:rFonts w:hint="eastAsia" w:ascii="宋体" w:hAnsi="宋体"/>
          <w:color w:val="auto"/>
          <w:highlight w:val="none"/>
        </w:rPr>
        <w:t>招标人：</w:t>
      </w:r>
      <w:r>
        <w:rPr>
          <w:rFonts w:hint="eastAsia" w:ascii="宋体" w:hAnsi="宋体"/>
          <w:color w:val="auto"/>
          <w:highlight w:val="none"/>
          <w:u w:val="single"/>
          <w:lang w:eastAsia="zh-CN"/>
        </w:rPr>
        <w:t>中山市三乡镇西山社区居民委员会</w:t>
      </w:r>
      <w:r>
        <w:rPr>
          <w:rFonts w:hint="eastAsia" w:ascii="宋体" w:hAnsi="宋体"/>
          <w:color w:val="auto"/>
          <w:highlight w:val="none"/>
        </w:rPr>
        <w:t xml:space="preserve"> 招标代理机构：</w:t>
      </w:r>
      <w:r>
        <w:rPr>
          <w:rFonts w:hint="eastAsia" w:ascii="宋体" w:hAnsi="宋体"/>
          <w:color w:val="auto"/>
          <w:highlight w:val="none"/>
          <w:u w:val="single"/>
        </w:rPr>
        <w:t>方禾（广东）项目管理有限公司</w:t>
      </w:r>
    </w:p>
    <w:p>
      <w:pPr>
        <w:spacing w:line="336" w:lineRule="auto"/>
        <w:ind w:left="6367" w:leftChars="14" w:hanging="6333" w:hangingChars="2639"/>
        <w:rPr>
          <w:rFonts w:ascii="宋体" w:hAnsi="宋体"/>
          <w:color w:val="auto"/>
          <w:highlight w:val="none"/>
        </w:rPr>
      </w:pPr>
      <w:r>
        <w:rPr>
          <w:rFonts w:hint="eastAsia" w:ascii="宋体" w:hAnsi="宋体"/>
          <w:color w:val="auto"/>
          <w:highlight w:val="none"/>
        </w:rPr>
        <w:t>地址：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中山市三乡镇西山村西山路50号</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r>
        <w:rPr>
          <w:rFonts w:hint="eastAsia" w:ascii="宋体" w:hAnsi="宋体"/>
          <w:color w:val="auto"/>
          <w:highlight w:val="none"/>
        </w:rPr>
        <w:t>地       址：</w:t>
      </w:r>
      <w:r>
        <w:rPr>
          <w:rFonts w:hint="eastAsia" w:ascii="宋体" w:hAnsi="宋体" w:cs="宋体"/>
          <w:color w:val="auto"/>
          <w:highlight w:val="none"/>
          <w:u w:val="single"/>
        </w:rPr>
        <w:t>中山市东区长江路33号汉宏盈基商务中心406室</w:t>
      </w:r>
    </w:p>
    <w:p>
      <w:pPr>
        <w:spacing w:line="336" w:lineRule="auto"/>
        <w:rPr>
          <w:rFonts w:ascii="宋体" w:hAnsi="宋体"/>
          <w:color w:val="auto"/>
          <w:highlight w:val="none"/>
        </w:rPr>
      </w:pPr>
      <w:r>
        <w:rPr>
          <w:rFonts w:hint="eastAsia" w:ascii="宋体" w:hAnsi="宋体"/>
          <w:color w:val="auto"/>
          <w:highlight w:val="none"/>
        </w:rPr>
        <w:t>邮编：</w:t>
      </w:r>
      <w:r>
        <w:rPr>
          <w:rFonts w:hint="eastAsia" w:ascii="宋体" w:hAnsi="宋体"/>
          <w:color w:val="auto"/>
          <w:highlight w:val="non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528400</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邮        编：</w:t>
      </w:r>
      <w:r>
        <w:rPr>
          <w:rFonts w:hint="eastAsia" w:ascii="宋体" w:hAnsi="宋体"/>
          <w:color w:val="auto"/>
          <w:highlight w:val="none"/>
          <w:u w:val="single"/>
        </w:rPr>
        <w:t xml:space="preserve">      528400          </w:t>
      </w:r>
    </w:p>
    <w:p>
      <w:pPr>
        <w:spacing w:line="336" w:lineRule="auto"/>
        <w:rPr>
          <w:rFonts w:ascii="宋体" w:hAnsi="宋体"/>
          <w:color w:val="auto"/>
          <w:highlight w:val="none"/>
          <w:u w:val="single"/>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陈</w:t>
      </w:r>
      <w:r>
        <w:rPr>
          <w:rFonts w:hint="eastAsia" w:ascii="宋体" w:hAnsi="宋体"/>
          <w:color w:val="auto"/>
          <w:highlight w:val="none"/>
          <w:u w:val="single"/>
          <w:lang w:eastAsia="zh-CN"/>
        </w:rPr>
        <w:t>工</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联   系   人：</w:t>
      </w:r>
      <w:r>
        <w:rPr>
          <w:rFonts w:hint="eastAsia" w:ascii="宋体" w:hAnsi="宋体"/>
          <w:color w:val="auto"/>
          <w:highlight w:val="none"/>
          <w:u w:val="single"/>
        </w:rPr>
        <w:t xml:space="preserve">     刘小姐       </w:t>
      </w:r>
      <w:bookmarkStart w:id="47" w:name="_GoBack"/>
      <w:bookmarkEnd w:id="47"/>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36" w:lineRule="auto"/>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15019910276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xml:space="preserve">   </w:t>
      </w:r>
      <w:r>
        <w:rPr>
          <w:rFonts w:ascii="宋体" w:hAnsi="宋体"/>
          <w:color w:val="auto"/>
          <w:highlight w:val="none"/>
          <w:u w:val="single"/>
        </w:rPr>
        <w:t>0760-86937513</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36" w:lineRule="auto"/>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olor w:val="auto"/>
          <w:highlight w:val="none"/>
          <w:u w:val="single"/>
        </w:rPr>
        <w:t xml:space="preserve">          </w:t>
      </w:r>
    </w:p>
    <w:p>
      <w:pPr>
        <w:spacing w:line="336" w:lineRule="auto"/>
        <w:rPr>
          <w:rFonts w:ascii="宋体" w:hAnsi="宋体"/>
          <w:color w:val="auto"/>
          <w:highlight w:val="none"/>
        </w:rPr>
      </w:pPr>
      <w:r>
        <w:rPr>
          <w:rFonts w:hint="eastAsia" w:ascii="宋体" w:hAnsi="宋体"/>
          <w:color w:val="auto"/>
          <w:highlight w:val="none"/>
        </w:rPr>
        <w:t>电子邮件：</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子  邮 件：</w:t>
      </w:r>
      <w:r>
        <w:rPr>
          <w:rFonts w:hint="eastAsia" w:ascii="宋体" w:hAnsi="宋体"/>
          <w:color w:val="auto"/>
          <w:highlight w:val="none"/>
          <w:u w:val="single"/>
        </w:rPr>
        <w:t xml:space="preserve">  fhxmgl@163.com      </w:t>
      </w:r>
    </w:p>
    <w:p>
      <w:pPr>
        <w:spacing w:line="336" w:lineRule="auto"/>
        <w:jc w:val="right"/>
        <w:rPr>
          <w:rFonts w:ascii="宋体" w:hAnsi="宋体"/>
          <w:color w:val="auto"/>
          <w:highlight w:val="none"/>
        </w:rPr>
        <w:sectPr>
          <w:headerReference r:id="rId3" w:type="default"/>
          <w:footerReference r:id="rId4" w:type="default"/>
          <w:pgSz w:w="11906" w:h="16838"/>
          <w:pgMar w:top="1418" w:right="1134" w:bottom="1500" w:left="1134" w:header="851" w:footer="992" w:gutter="0"/>
          <w:cols w:space="720" w:num="1"/>
          <w:docGrid w:type="lines" w:linePitch="312" w:charSpace="0"/>
        </w:sectPr>
      </w:pPr>
      <w:r>
        <w:rPr>
          <w:rFonts w:hint="eastAsia" w:ascii="宋体" w:hAnsi="宋体"/>
          <w:color w:val="auto"/>
          <w:highlight w:val="none"/>
          <w:u w:val="single"/>
        </w:rPr>
        <w:t>2021年12月</w:t>
      </w:r>
      <w:r>
        <w:rPr>
          <w:rFonts w:hint="eastAsia" w:ascii="宋体" w:hAnsi="宋体"/>
          <w:color w:val="auto"/>
          <w:highlight w:val="none"/>
          <w:u w:val="single"/>
          <w:lang w:val="en-US" w:eastAsia="zh-CN"/>
        </w:rPr>
        <w:t>9</w:t>
      </w:r>
      <w:r>
        <w:rPr>
          <w:rFonts w:hint="eastAsia" w:ascii="宋体" w:hAnsi="宋体"/>
          <w:color w:val="auto"/>
          <w:highlight w:val="none"/>
          <w:u w:val="single"/>
        </w:rPr>
        <w:t>日</w:t>
      </w:r>
    </w:p>
    <w:p>
      <w:pPr>
        <w:pStyle w:val="3"/>
        <w:rPr>
          <w:rFonts w:ascii="宋体" w:hAnsi="宋体"/>
          <w:color w:val="auto"/>
          <w:szCs w:val="32"/>
          <w:highlight w:val="none"/>
        </w:rPr>
      </w:pPr>
      <w:bookmarkStart w:id="13" w:name="_Toc80020745"/>
      <w:bookmarkStart w:id="14" w:name="_Toc45126822"/>
      <w:r>
        <w:rPr>
          <w:rFonts w:hint="eastAsia" w:ascii="宋体" w:hAnsi="宋体"/>
          <w:color w:val="auto"/>
          <w:szCs w:val="32"/>
          <w:highlight w:val="none"/>
        </w:rPr>
        <w:t>第二章 投标人须知</w:t>
      </w:r>
      <w:bookmarkEnd w:id="13"/>
      <w:bookmarkEnd w:id="14"/>
      <w:bookmarkStart w:id="15" w:name="_Toc45126823"/>
      <w:bookmarkStart w:id="16" w:name="_Toc184635070"/>
    </w:p>
    <w:p>
      <w:pPr>
        <w:pStyle w:val="3"/>
        <w:rPr>
          <w:rFonts w:ascii="宋体" w:hAnsi="宋体"/>
          <w:color w:val="auto"/>
          <w:szCs w:val="32"/>
          <w:highlight w:val="none"/>
        </w:rPr>
      </w:pPr>
      <w:bookmarkStart w:id="17" w:name="_Toc80020746"/>
      <w:bookmarkStart w:id="18" w:name="_Toc76468750"/>
      <w:r>
        <w:rPr>
          <w:rFonts w:hint="eastAsia" w:ascii="宋体" w:hAnsi="宋体"/>
          <w:color w:val="auto"/>
          <w:szCs w:val="24"/>
          <w:highlight w:val="none"/>
        </w:rPr>
        <w:t>投标人须知前附表</w:t>
      </w:r>
      <w:bookmarkEnd w:id="15"/>
      <w:bookmarkEnd w:id="16"/>
      <w:bookmarkEnd w:id="17"/>
      <w:bookmarkEnd w:id="18"/>
    </w:p>
    <w:tbl>
      <w:tblPr>
        <w:tblStyle w:val="2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60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077" w:type="dxa"/>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3601" w:type="dxa"/>
            <w:vAlign w:val="center"/>
          </w:tcPr>
          <w:p>
            <w:pPr>
              <w:jc w:val="center"/>
              <w:rPr>
                <w:rFonts w:ascii="宋体" w:hAnsi="宋体"/>
                <w:b/>
                <w:color w:val="auto"/>
                <w:szCs w:val="21"/>
                <w:highlight w:val="none"/>
              </w:rPr>
            </w:pPr>
            <w:r>
              <w:rPr>
                <w:rFonts w:hint="eastAsia" w:ascii="宋体" w:hAnsi="宋体"/>
                <w:b/>
                <w:color w:val="auto"/>
                <w:szCs w:val="21"/>
                <w:highlight w:val="none"/>
              </w:rPr>
              <w:t>条 款 名 称</w:t>
            </w:r>
          </w:p>
        </w:tc>
        <w:tc>
          <w:tcPr>
            <w:tcW w:w="4961" w:type="dxa"/>
            <w:vAlign w:val="center"/>
          </w:tcPr>
          <w:p>
            <w:pPr>
              <w:jc w:val="center"/>
              <w:rPr>
                <w:rFonts w:ascii="宋体" w:hAnsi="宋体"/>
                <w:b/>
                <w:color w:val="auto"/>
                <w:szCs w:val="21"/>
                <w:highlight w:val="none"/>
              </w:rPr>
            </w:pPr>
            <w:r>
              <w:rPr>
                <w:rFonts w:hint="eastAsia" w:ascii="宋体" w:hAnsi="宋体"/>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1.1.2</w:t>
            </w:r>
          </w:p>
        </w:tc>
        <w:tc>
          <w:tcPr>
            <w:tcW w:w="3601" w:type="dxa"/>
            <w:vAlign w:val="center"/>
          </w:tcPr>
          <w:p>
            <w:pPr>
              <w:jc w:val="center"/>
              <w:rPr>
                <w:rFonts w:ascii="宋体" w:hAnsi="宋体"/>
                <w:color w:val="auto"/>
                <w:highlight w:val="none"/>
              </w:rPr>
            </w:pPr>
            <w:r>
              <w:rPr>
                <w:rFonts w:hint="eastAsia" w:ascii="宋体" w:hAnsi="宋体"/>
                <w:color w:val="auto"/>
                <w:highlight w:val="none"/>
              </w:rPr>
              <w:t>招标人（建设单位或代建单位）</w:t>
            </w:r>
          </w:p>
        </w:tc>
        <w:tc>
          <w:tcPr>
            <w:tcW w:w="4961" w:type="dxa"/>
            <w:vAlign w:val="center"/>
          </w:tcPr>
          <w:p>
            <w:pPr>
              <w:rPr>
                <w:rFonts w:hint="eastAsia" w:ascii="宋体" w:hAnsi="宋体" w:eastAsia="宋体"/>
                <w:color w:val="auto"/>
                <w:highlight w:val="none"/>
                <w:lang w:eastAsia="zh-CN"/>
              </w:rPr>
            </w:pPr>
            <w:r>
              <w:rPr>
                <w:rFonts w:hint="eastAsia" w:ascii="宋体" w:hAnsi="宋体"/>
                <w:color w:val="auto"/>
                <w:highlight w:val="none"/>
              </w:rPr>
              <w:t>名</w:t>
            </w:r>
            <w:r>
              <w:rPr>
                <w:rFonts w:hint="eastAsia" w:ascii="宋体" w:hAnsi="宋体"/>
                <w:color w:val="auto"/>
                <w:highlight w:val="none"/>
                <w:lang w:val="en-US" w:eastAsia="zh-CN"/>
              </w:rPr>
              <w:t xml:space="preserve">    </w:t>
            </w:r>
            <w:r>
              <w:rPr>
                <w:rFonts w:hint="eastAsia" w:ascii="宋体" w:hAnsi="宋体"/>
                <w:color w:val="auto"/>
                <w:highlight w:val="none"/>
              </w:rPr>
              <w:t>称：</w:t>
            </w:r>
            <w:r>
              <w:rPr>
                <w:rFonts w:hint="eastAsia" w:ascii="宋体" w:hAnsi="宋体"/>
                <w:bCs/>
                <w:color w:val="auto"/>
                <w:highlight w:val="none"/>
                <w:lang w:eastAsia="zh-CN"/>
              </w:rPr>
              <w:t>中山市三乡镇西山社区居民委员会</w:t>
            </w:r>
          </w:p>
          <w:p>
            <w:pPr>
              <w:jc w:val="both"/>
              <w:rPr>
                <w:rFonts w:ascii="宋体" w:hAnsi="宋体"/>
                <w:color w:val="auto"/>
                <w:highlight w:val="none"/>
              </w:rPr>
            </w:pPr>
            <w:r>
              <w:rPr>
                <w:rFonts w:hint="eastAsia" w:ascii="宋体" w:hAnsi="宋体"/>
                <w:color w:val="auto"/>
                <w:highlight w:val="none"/>
              </w:rPr>
              <w:t>地</w:t>
            </w:r>
            <w:r>
              <w:rPr>
                <w:rFonts w:hint="eastAsia" w:ascii="宋体" w:hAnsi="宋体"/>
                <w:color w:val="auto"/>
                <w:highlight w:val="none"/>
                <w:lang w:val="en-US" w:eastAsia="zh-CN"/>
              </w:rPr>
              <w:t xml:space="preserve">    </w:t>
            </w:r>
            <w:r>
              <w:rPr>
                <w:rFonts w:hint="eastAsia" w:ascii="宋体" w:hAnsi="宋体"/>
                <w:color w:val="auto"/>
                <w:highlight w:val="none"/>
              </w:rPr>
              <w:t>址：</w:t>
            </w:r>
            <w:r>
              <w:rPr>
                <w:rFonts w:hint="eastAsia" w:ascii="宋体" w:hAnsi="宋体" w:cs="宋体"/>
                <w:color w:val="auto"/>
                <w:highlight w:val="none"/>
              </w:rPr>
              <w:t>中山市三乡镇西山村西山路50号</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p>
          <w:p>
            <w:pPr>
              <w:rPr>
                <w:rFonts w:ascii="宋体" w:hAnsi="宋体"/>
                <w:color w:val="auto"/>
                <w:highlight w:val="none"/>
              </w:rPr>
            </w:pPr>
            <w:r>
              <w:rPr>
                <w:rFonts w:hint="eastAsia" w:ascii="宋体" w:hAnsi="宋体"/>
                <w:color w:val="auto"/>
                <w:highlight w:val="none"/>
              </w:rPr>
              <w:t>联</w:t>
            </w:r>
            <w:r>
              <w:rPr>
                <w:rFonts w:hint="eastAsia" w:ascii="宋体" w:hAnsi="宋体"/>
                <w:color w:val="auto"/>
                <w:highlight w:val="none"/>
                <w:lang w:val="en-US" w:eastAsia="zh-CN"/>
              </w:rPr>
              <w:t xml:space="preserve"> </w:t>
            </w:r>
            <w:r>
              <w:rPr>
                <w:rFonts w:hint="eastAsia" w:ascii="宋体" w:hAnsi="宋体"/>
                <w:color w:val="auto"/>
                <w:highlight w:val="none"/>
              </w:rPr>
              <w:t>系</w:t>
            </w:r>
            <w:r>
              <w:rPr>
                <w:rFonts w:hint="eastAsia" w:ascii="宋体" w:hAnsi="宋体"/>
                <w:color w:val="auto"/>
                <w:highlight w:val="none"/>
                <w:lang w:val="en-US" w:eastAsia="zh-CN"/>
              </w:rPr>
              <w:t xml:space="preserve"> </w:t>
            </w:r>
            <w:r>
              <w:rPr>
                <w:rFonts w:hint="eastAsia" w:ascii="宋体" w:hAnsi="宋体"/>
                <w:color w:val="auto"/>
                <w:highlight w:val="none"/>
              </w:rPr>
              <w:t>人：陈</w:t>
            </w:r>
            <w:r>
              <w:rPr>
                <w:rFonts w:hint="eastAsia" w:ascii="宋体" w:hAnsi="宋体"/>
                <w:color w:val="auto"/>
                <w:highlight w:val="none"/>
                <w:lang w:eastAsia="zh-CN"/>
              </w:rPr>
              <w:t>工</w:t>
            </w:r>
            <w:r>
              <w:rPr>
                <w:rFonts w:hint="eastAsia" w:ascii="宋体" w:hAnsi="宋体"/>
                <w:color w:val="auto"/>
                <w:highlight w:val="none"/>
                <w:lang w:val="en-US" w:eastAsia="zh-CN"/>
              </w:rPr>
              <w:t xml:space="preserve">                        </w:t>
            </w:r>
          </w:p>
          <w:p>
            <w:pPr>
              <w:rPr>
                <w:rFonts w:ascii="宋体" w:hAnsi="宋体"/>
                <w:color w:val="auto"/>
                <w:highlight w:val="none"/>
              </w:rPr>
            </w:pPr>
            <w:r>
              <w:rPr>
                <w:rFonts w:hint="eastAsia" w:ascii="宋体" w:hAnsi="宋体"/>
                <w:color w:val="auto"/>
                <w:highlight w:val="none"/>
              </w:rPr>
              <w:t>电</w:t>
            </w:r>
            <w:r>
              <w:rPr>
                <w:rFonts w:hint="eastAsia" w:ascii="宋体" w:hAnsi="宋体"/>
                <w:color w:val="auto"/>
                <w:highlight w:val="none"/>
                <w:lang w:val="en-US" w:eastAsia="zh-CN"/>
              </w:rPr>
              <w:t xml:space="preserve">    </w:t>
            </w:r>
            <w:r>
              <w:rPr>
                <w:rFonts w:hint="eastAsia" w:ascii="宋体" w:hAnsi="宋体"/>
                <w:color w:val="auto"/>
                <w:highlight w:val="none"/>
              </w:rPr>
              <w:t>话：15019910276</w:t>
            </w:r>
            <w:r>
              <w:rPr>
                <w:rFonts w:hint="eastAsia" w:ascii="宋体" w:hAnsi="宋体"/>
                <w:color w:val="auto"/>
                <w:highlight w:val="none"/>
                <w:lang w:val="en-US" w:eastAsia="zh-CN"/>
              </w:rPr>
              <w:t xml:space="preserve">                  </w:t>
            </w:r>
            <w:r>
              <w:rPr>
                <w:rFonts w:hint="eastAsia"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1.1.3</w:t>
            </w:r>
          </w:p>
        </w:tc>
        <w:tc>
          <w:tcPr>
            <w:tcW w:w="3601" w:type="dxa"/>
            <w:vAlign w:val="center"/>
          </w:tcPr>
          <w:p>
            <w:pPr>
              <w:jc w:val="center"/>
              <w:rPr>
                <w:rFonts w:ascii="宋体" w:hAnsi="宋体"/>
                <w:color w:val="auto"/>
                <w:highlight w:val="none"/>
              </w:rPr>
            </w:pPr>
            <w:r>
              <w:rPr>
                <w:rFonts w:hint="eastAsia" w:ascii="宋体" w:hAnsi="宋体"/>
                <w:color w:val="auto"/>
                <w:highlight w:val="none"/>
              </w:rPr>
              <w:t>招标代理机构</w:t>
            </w:r>
          </w:p>
        </w:tc>
        <w:tc>
          <w:tcPr>
            <w:tcW w:w="4961" w:type="dxa"/>
            <w:vAlign w:val="center"/>
          </w:tcPr>
          <w:p>
            <w:pPr>
              <w:rPr>
                <w:rFonts w:ascii="宋体" w:hAnsi="宋体"/>
                <w:color w:val="auto"/>
                <w:highlight w:val="none"/>
              </w:rPr>
            </w:pPr>
            <w:r>
              <w:rPr>
                <w:rFonts w:hint="eastAsia" w:ascii="宋体" w:hAnsi="宋体"/>
                <w:color w:val="auto"/>
                <w:highlight w:val="none"/>
              </w:rPr>
              <w:t>名    称：方禾（广东）项目管理有限公司</w:t>
            </w:r>
          </w:p>
          <w:p>
            <w:pPr>
              <w:ind w:left="1200" w:leftChars="0" w:hanging="1200" w:hangingChars="500"/>
              <w:rPr>
                <w:rFonts w:ascii="宋体" w:hAnsi="宋体"/>
                <w:color w:val="auto"/>
                <w:highlight w:val="none"/>
              </w:rPr>
            </w:pPr>
            <w:r>
              <w:rPr>
                <w:rFonts w:hint="eastAsia" w:ascii="宋体" w:hAnsi="宋体"/>
                <w:color w:val="auto"/>
                <w:highlight w:val="none"/>
              </w:rPr>
              <w:t>地    址：中山市东区长江路33号汉宏盈基商务中心406室</w:t>
            </w:r>
          </w:p>
          <w:p>
            <w:pPr>
              <w:rPr>
                <w:rFonts w:ascii="宋体" w:hAnsi="宋体"/>
                <w:color w:val="auto"/>
                <w:highlight w:val="none"/>
              </w:rPr>
            </w:pPr>
            <w:r>
              <w:rPr>
                <w:rFonts w:hint="eastAsia" w:ascii="宋体" w:hAnsi="宋体"/>
                <w:color w:val="auto"/>
                <w:highlight w:val="none"/>
              </w:rPr>
              <w:t>联 系 人：</w:t>
            </w:r>
            <w:r>
              <w:rPr>
                <w:rFonts w:hint="eastAsia" w:ascii="宋体" w:hAnsi="宋体" w:cs="宋体"/>
                <w:color w:val="auto"/>
                <w:highlight w:val="none"/>
              </w:rPr>
              <w:t>刘小姐</w:t>
            </w:r>
          </w:p>
          <w:p>
            <w:pPr>
              <w:rPr>
                <w:rFonts w:ascii="宋体" w:hAnsi="宋体"/>
                <w:color w:val="auto"/>
                <w:highlight w:val="none"/>
              </w:rPr>
            </w:pPr>
            <w:r>
              <w:rPr>
                <w:rFonts w:hint="eastAsia" w:ascii="宋体" w:hAnsi="宋体"/>
                <w:color w:val="auto"/>
                <w:highlight w:val="none"/>
              </w:rPr>
              <w:t>电    话：</w:t>
            </w:r>
            <w:r>
              <w:rPr>
                <w:rFonts w:ascii="宋体" w:hAnsi="宋体"/>
                <w:color w:val="auto"/>
                <w:highlight w:val="none"/>
              </w:rPr>
              <w:t>0760-86937513</w:t>
            </w:r>
          </w:p>
          <w:p>
            <w:pPr>
              <w:rPr>
                <w:rFonts w:ascii="宋体" w:hAnsi="宋体"/>
                <w:color w:val="auto"/>
                <w:highlight w:val="none"/>
              </w:rPr>
            </w:pPr>
            <w:r>
              <w:rPr>
                <w:rFonts w:hint="eastAsia" w:ascii="宋体" w:hAnsi="宋体"/>
                <w:color w:val="auto"/>
                <w:highlight w:val="none"/>
              </w:rPr>
              <w:t>电子邮件：</w:t>
            </w:r>
            <w:r>
              <w:rPr>
                <w:color w:val="auto"/>
                <w:highlight w:val="none"/>
              </w:rPr>
              <w:fldChar w:fldCharType="begin"/>
            </w:r>
            <w:r>
              <w:rPr>
                <w:color w:val="auto"/>
                <w:highlight w:val="none"/>
              </w:rPr>
              <w:instrText xml:space="preserve"> HYPERLINK "mailto:gdrxzs@163.com" </w:instrText>
            </w:r>
            <w:r>
              <w:rPr>
                <w:color w:val="auto"/>
                <w:highlight w:val="none"/>
              </w:rPr>
              <w:fldChar w:fldCharType="separate"/>
            </w:r>
            <w:r>
              <w:rPr>
                <w:rStyle w:val="32"/>
                <w:rFonts w:ascii="宋体" w:hAnsi="宋体" w:cs="宋体"/>
                <w:color w:val="auto"/>
                <w:highlight w:val="none"/>
              </w:rPr>
              <w:t>fhxmgl@163.com</w:t>
            </w:r>
            <w:r>
              <w:rPr>
                <w:rStyle w:val="32"/>
                <w:rFonts w:ascii="宋体" w:hAnsi="宋体" w:cs="宋体"/>
                <w:color w:val="auto"/>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1.1.4</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4961" w:type="dxa"/>
            <w:vAlign w:val="center"/>
          </w:tcPr>
          <w:p>
            <w:pPr>
              <w:jc w:val="center"/>
              <w:rPr>
                <w:rFonts w:hint="eastAsia" w:ascii="宋体" w:hAnsi="宋体" w:eastAsia="宋体"/>
                <w:color w:val="auto"/>
                <w:szCs w:val="21"/>
                <w:highlight w:val="none"/>
                <w:lang w:eastAsia="zh-CN"/>
              </w:rPr>
            </w:pPr>
            <w:r>
              <w:rPr>
                <w:rFonts w:hint="eastAsia" w:ascii="宋体" w:hAnsi="宋体"/>
                <w:color w:val="auto"/>
                <w:highlight w:val="none"/>
                <w:lang w:eastAsia="zh-CN"/>
              </w:rPr>
              <w:t>中山市三乡镇西山社区智慧垃圾分类管理项目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1.1.4.1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项目编号</w:t>
            </w:r>
          </w:p>
        </w:tc>
        <w:tc>
          <w:tcPr>
            <w:tcW w:w="4961" w:type="dxa"/>
            <w:vAlign w:val="center"/>
          </w:tcPr>
          <w:p>
            <w:pPr>
              <w:jc w:val="center"/>
              <w:rPr>
                <w:rFonts w:hint="eastAsia" w:ascii="宋体" w:hAnsi="宋体" w:eastAsia="宋体"/>
                <w:color w:val="auto"/>
                <w:szCs w:val="21"/>
                <w:highlight w:val="none"/>
                <w:lang w:eastAsia="zh-CN"/>
              </w:rPr>
            </w:pPr>
            <w:r>
              <w:rPr>
                <w:rFonts w:hint="eastAsia" w:ascii="新宋体" w:hAnsi="新宋体" w:eastAsia="新宋体"/>
                <w:color w:val="auto"/>
                <w:highlight w:val="none"/>
                <w:lang w:eastAsia="zh-CN"/>
              </w:rPr>
              <w:t>FH2021GC1206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建设地点</w:t>
            </w:r>
          </w:p>
        </w:tc>
        <w:tc>
          <w:tcPr>
            <w:tcW w:w="4961" w:type="dxa"/>
            <w:vAlign w:val="center"/>
          </w:tcPr>
          <w:p>
            <w:pPr>
              <w:jc w:val="center"/>
              <w:rPr>
                <w:rFonts w:ascii="宋体" w:hAnsi="宋体"/>
                <w:color w:val="auto"/>
                <w:szCs w:val="21"/>
                <w:highlight w:val="none"/>
              </w:rPr>
            </w:pPr>
            <w:r>
              <w:rPr>
                <w:rFonts w:hint="eastAsia" w:ascii="宋体" w:hAnsi="宋体"/>
                <w:color w:val="auto"/>
                <w:szCs w:val="21"/>
                <w:highlight w:val="none"/>
              </w:rPr>
              <w:t>中山市三乡镇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1.2.1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资金来源</w:t>
            </w:r>
          </w:p>
        </w:tc>
        <w:tc>
          <w:tcPr>
            <w:tcW w:w="4961" w:type="dxa"/>
            <w:vAlign w:val="center"/>
          </w:tcPr>
          <w:p>
            <w:pPr>
              <w:jc w:val="center"/>
              <w:rPr>
                <w:rFonts w:ascii="宋体" w:hAnsi="宋体"/>
                <w:color w:val="auto"/>
                <w:szCs w:val="21"/>
                <w:highlight w:val="none"/>
              </w:rPr>
            </w:pPr>
            <w:r>
              <w:rPr>
                <w:rFonts w:hint="eastAsia" w:ascii="宋体" w:hAnsi="宋体"/>
                <w:color w:val="auto"/>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1.2.2</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出资比例</w:t>
            </w:r>
          </w:p>
        </w:tc>
        <w:tc>
          <w:tcPr>
            <w:tcW w:w="4961" w:type="dxa"/>
            <w:vAlign w:val="center"/>
          </w:tcPr>
          <w:p>
            <w:pPr>
              <w:jc w:val="center"/>
              <w:rPr>
                <w:rFonts w:ascii="宋体" w:hAnsi="宋体"/>
                <w:color w:val="auto"/>
                <w:szCs w:val="21"/>
                <w:highlight w:val="none"/>
              </w:rPr>
            </w:pPr>
            <w:r>
              <w:rPr>
                <w:rFonts w:hint="eastAsia" w:ascii="宋体" w:hAnsi="宋体"/>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1.2.3</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资金落实情况</w:t>
            </w:r>
          </w:p>
        </w:tc>
        <w:tc>
          <w:tcPr>
            <w:tcW w:w="4961" w:type="dxa"/>
            <w:vAlign w:val="center"/>
          </w:tcPr>
          <w:p>
            <w:pPr>
              <w:jc w:val="center"/>
              <w:rPr>
                <w:rFonts w:ascii="宋体" w:hAnsi="宋体"/>
                <w:color w:val="auto"/>
                <w:szCs w:val="21"/>
                <w:highlight w:val="none"/>
              </w:rPr>
            </w:pPr>
            <w:r>
              <w:rPr>
                <w:rFonts w:hint="eastAsia" w:ascii="宋体" w:hAnsi="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1.3.1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招标范围</w:t>
            </w:r>
          </w:p>
        </w:tc>
        <w:tc>
          <w:tcPr>
            <w:tcW w:w="4961" w:type="dxa"/>
            <w:vAlign w:val="center"/>
          </w:tcPr>
          <w:p>
            <w:pPr>
              <w:rPr>
                <w:rFonts w:ascii="宋体" w:hAnsi="宋体"/>
                <w:color w:val="auto"/>
                <w:szCs w:val="21"/>
                <w:highlight w:val="none"/>
              </w:rPr>
            </w:pPr>
            <w:r>
              <w:rPr>
                <w:rFonts w:hint="eastAsia" w:ascii="宋体" w:hAnsi="宋体"/>
                <w:color w:val="auto"/>
                <w:highlight w:val="none"/>
              </w:rPr>
              <w:t>本次招标主要建设内容包括</w:t>
            </w:r>
            <w:r>
              <w:rPr>
                <w:rFonts w:hint="eastAsia" w:ascii="宋体" w:hAnsi="宋体"/>
                <w:color w:val="auto"/>
                <w:highlight w:val="none"/>
                <w:lang w:eastAsia="zh-CN"/>
              </w:rPr>
              <w:t>智慧垃圾分类管理项目</w:t>
            </w:r>
            <w:r>
              <w:rPr>
                <w:rFonts w:hint="eastAsia" w:ascii="宋体" w:hAnsi="宋体"/>
                <w:color w:val="auto"/>
                <w:highlight w:val="none"/>
              </w:rPr>
              <w:t>，具体以建设单位提供的施工图纸和工程量清单及有关资料的内容为准，所有调整和变更项目施工单位不得拒绝承担。</w:t>
            </w:r>
            <w:r>
              <w:rPr>
                <w:rFonts w:ascii="宋体" w:hAnsi="宋体"/>
                <w:color w:val="auto"/>
                <w:highlight w:val="none"/>
              </w:rPr>
              <w:t>投标单位应自行复算。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1.3.2</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计划工期</w:t>
            </w:r>
          </w:p>
        </w:tc>
        <w:tc>
          <w:tcPr>
            <w:tcW w:w="4961" w:type="dxa"/>
            <w:vAlign w:val="center"/>
          </w:tcPr>
          <w:p>
            <w:pPr>
              <w:rPr>
                <w:rFonts w:ascii="宋体" w:hAnsi="宋体"/>
                <w:color w:val="auto"/>
                <w:highlight w:val="none"/>
              </w:rPr>
            </w:pPr>
            <w:r>
              <w:rPr>
                <w:rFonts w:hint="eastAsia" w:ascii="宋体" w:hAnsi="宋体"/>
                <w:color w:val="auto"/>
                <w:szCs w:val="21"/>
                <w:highlight w:val="none"/>
              </w:rPr>
              <w:t>计划工期：</w:t>
            </w:r>
            <w:r>
              <w:rPr>
                <w:rFonts w:hint="eastAsia" w:ascii="宋体" w:hAnsi="宋体"/>
                <w:color w:val="auto"/>
                <w:szCs w:val="21"/>
                <w:highlight w:val="none"/>
                <w:u w:val="single"/>
              </w:rPr>
              <w:t>35个日历天</w:t>
            </w:r>
            <w:r>
              <w:rPr>
                <w:rFonts w:hint="eastAsia" w:ascii="宋体" w:hAnsi="宋体"/>
                <w:color w:val="auto"/>
                <w:szCs w:val="21"/>
                <w:highlight w:val="none"/>
              </w:rPr>
              <w:t>。</w:t>
            </w:r>
          </w:p>
          <w:p>
            <w:pPr>
              <w:rPr>
                <w:rFonts w:ascii="宋体" w:hAnsi="宋体"/>
                <w:color w:val="auto"/>
                <w:szCs w:val="21"/>
                <w:highlight w:val="none"/>
                <w:u w:val="single"/>
              </w:rPr>
            </w:pPr>
            <w:r>
              <w:rPr>
                <w:rFonts w:hint="eastAsia" w:ascii="宋体" w:hAnsi="宋体"/>
                <w:color w:val="auto"/>
                <w:szCs w:val="21"/>
                <w:highlight w:val="none"/>
              </w:rPr>
              <w:t>计划开工及计划竣工日期为暂定日期，投标人可根据计划工期按实际情况编排进度计划，最终以合同签订时间和开工令/报告为准。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1.3.3</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质量要求</w:t>
            </w:r>
          </w:p>
        </w:tc>
        <w:tc>
          <w:tcPr>
            <w:tcW w:w="4961" w:type="dxa"/>
            <w:vAlign w:val="center"/>
          </w:tcPr>
          <w:p>
            <w:pPr>
              <w:jc w:val="center"/>
              <w:rPr>
                <w:rFonts w:ascii="宋体" w:hAnsi="宋体"/>
                <w:color w:val="auto"/>
                <w:szCs w:val="21"/>
                <w:highlight w:val="none"/>
              </w:rPr>
            </w:pPr>
            <w:r>
              <w:rPr>
                <w:rFonts w:hint="eastAsia" w:ascii="宋体" w:hAnsi="宋体"/>
                <w:color w:val="auto"/>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1.3.4</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安全文明施工</w:t>
            </w:r>
          </w:p>
        </w:tc>
        <w:tc>
          <w:tcPr>
            <w:tcW w:w="4961" w:type="dxa"/>
            <w:vAlign w:val="center"/>
          </w:tcPr>
          <w:p>
            <w:pPr>
              <w:jc w:val="center"/>
              <w:rPr>
                <w:rFonts w:ascii="宋体" w:hAnsi="宋体"/>
                <w:color w:val="auto"/>
                <w:szCs w:val="21"/>
                <w:highlight w:val="none"/>
              </w:rPr>
            </w:pPr>
            <w:r>
              <w:rPr>
                <w:rFonts w:hint="eastAsia" w:ascii="宋体" w:hAnsi="宋体"/>
                <w:color w:val="auto"/>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1.4.1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投标人资质条件、能力和信誉</w:t>
            </w:r>
          </w:p>
        </w:tc>
        <w:tc>
          <w:tcPr>
            <w:tcW w:w="4961" w:type="dxa"/>
            <w:vAlign w:val="center"/>
          </w:tcPr>
          <w:p>
            <w:pPr>
              <w:rPr>
                <w:rFonts w:ascii="宋体" w:hAnsi="宋体"/>
                <w:color w:val="auto"/>
                <w:szCs w:val="21"/>
                <w:highlight w:val="none"/>
              </w:rPr>
            </w:pPr>
            <w:r>
              <w:rPr>
                <w:rFonts w:hint="eastAsia" w:ascii="宋体" w:hAnsi="宋体"/>
                <w:b/>
                <w:color w:val="auto"/>
                <w:szCs w:val="21"/>
                <w:highlight w:val="none"/>
              </w:rPr>
              <w:t>见第一章邀请招标公告3.投标人资格要求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1.4.2</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是否接受联合体投标</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■不接受</w:t>
            </w:r>
          </w:p>
          <w:p>
            <w:pPr>
              <w:widowControl w:val="0"/>
              <w:numPr>
                <w:ilvl w:val="0"/>
                <w:numId w:val="2"/>
              </w:numPr>
              <w:tabs>
                <w:tab w:val="left" w:pos="317"/>
                <w:tab w:val="clear" w:pos="360"/>
              </w:tabs>
              <w:ind w:left="0" w:firstLine="0"/>
              <w:jc w:val="both"/>
              <w:rPr>
                <w:rFonts w:ascii="宋体" w:hAnsi="宋体"/>
                <w:color w:val="auto"/>
                <w:szCs w:val="21"/>
                <w:highlight w:val="none"/>
              </w:rPr>
            </w:pPr>
            <w:r>
              <w:rPr>
                <w:rFonts w:hint="eastAsia" w:ascii="宋体" w:hAnsi="宋体"/>
                <w:color w:val="auto"/>
                <w:szCs w:val="21"/>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1.9.1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踏勘现场</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一般情况下不集中踏勘现场。</w:t>
            </w:r>
          </w:p>
          <w:p>
            <w:pPr>
              <w:rPr>
                <w:rFonts w:ascii="宋体" w:hAnsi="宋体"/>
                <w:color w:val="auto"/>
                <w:szCs w:val="21"/>
                <w:highlight w:val="none"/>
              </w:rPr>
            </w:pPr>
            <w:r>
              <w:rPr>
                <w:rFonts w:hint="eastAsia" w:ascii="宋体" w:hAnsi="宋体"/>
                <w:color w:val="auto"/>
                <w:szCs w:val="21"/>
                <w:highlight w:val="none"/>
              </w:rPr>
              <w:t>■不组织踏勘现场</w:t>
            </w:r>
          </w:p>
          <w:p>
            <w:pPr>
              <w:widowControl w:val="0"/>
              <w:numPr>
                <w:ilvl w:val="0"/>
                <w:numId w:val="2"/>
              </w:numPr>
              <w:tabs>
                <w:tab w:val="left" w:pos="317"/>
              </w:tabs>
              <w:ind w:left="0" w:firstLine="0"/>
              <w:jc w:val="both"/>
              <w:rPr>
                <w:rFonts w:ascii="宋体" w:hAnsi="宋体"/>
                <w:color w:val="auto"/>
                <w:szCs w:val="21"/>
                <w:highlight w:val="none"/>
              </w:rPr>
            </w:pPr>
            <w:r>
              <w:rPr>
                <w:rFonts w:hint="eastAsia" w:ascii="宋体" w:hAnsi="宋体"/>
                <w:color w:val="auto"/>
                <w:szCs w:val="21"/>
                <w:highlight w:val="none"/>
              </w:rPr>
              <w:t>组织踏勘现场,</w:t>
            </w:r>
          </w:p>
          <w:p>
            <w:pPr>
              <w:widowControl w:val="0"/>
              <w:numPr>
                <w:ilvl w:val="0"/>
                <w:numId w:val="2"/>
              </w:numPr>
              <w:tabs>
                <w:tab w:val="left" w:pos="317"/>
              </w:tabs>
              <w:ind w:left="0" w:firstLine="0"/>
              <w:jc w:val="both"/>
              <w:rPr>
                <w:rFonts w:ascii="宋体" w:hAnsi="宋体"/>
                <w:color w:val="auto"/>
                <w:szCs w:val="21"/>
                <w:highlight w:val="none"/>
              </w:rPr>
            </w:pPr>
            <w:r>
              <w:rPr>
                <w:rFonts w:hint="eastAsia" w:ascii="宋体" w:hAnsi="宋体"/>
                <w:color w:val="auto"/>
                <w:szCs w:val="21"/>
                <w:highlight w:val="none"/>
              </w:rPr>
              <w:t>踏勘时间：</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pPr>
              <w:tabs>
                <w:tab w:val="left" w:pos="317"/>
              </w:tabs>
              <w:rPr>
                <w:rFonts w:ascii="宋体" w:hAnsi="宋体"/>
                <w:color w:val="auto"/>
                <w:szCs w:val="21"/>
                <w:highlight w:val="none"/>
              </w:rPr>
            </w:pPr>
            <w:r>
              <w:rPr>
                <w:rFonts w:hint="eastAsia" w:ascii="宋体" w:hAnsi="宋体"/>
                <w:color w:val="auto"/>
                <w:szCs w:val="21"/>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1.10</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招标答疑</w:t>
            </w:r>
          </w:p>
        </w:tc>
        <w:tc>
          <w:tcPr>
            <w:tcW w:w="4961" w:type="dxa"/>
            <w:vAlign w:val="center"/>
          </w:tcPr>
          <w:p>
            <w:pPr>
              <w:rPr>
                <w:rFonts w:ascii="宋体" w:hAnsi="宋体" w:cs="宋体"/>
                <w:color w:val="auto"/>
                <w:highlight w:val="none"/>
              </w:rPr>
            </w:pPr>
            <w:r>
              <w:rPr>
                <w:rFonts w:hint="eastAsia" w:ascii="宋体" w:hAnsi="宋体" w:cs="宋体"/>
                <w:color w:val="auto"/>
                <w:highlight w:val="none"/>
              </w:rPr>
              <w:t>各投标单位将有关问题以书面或者通过邮件发送扫描件的形式提供至招标代理机构；答疑文件将以书面形式发给所有投标人单位，但不指明答疑问题的来源。（ 联系人：刘小姐 ，</w:t>
            </w:r>
            <w:r>
              <w:rPr>
                <w:rFonts w:hint="eastAsia" w:ascii="宋体" w:hAnsi="宋体" w:cs="宋体"/>
                <w:color w:val="auto"/>
                <w:highlight w:val="none"/>
              </w:rPr>
              <w:br w:type="textWrapping"/>
            </w:r>
            <w:r>
              <w:rPr>
                <w:rFonts w:hint="eastAsia" w:ascii="宋体" w:hAnsi="宋体" w:cs="宋体"/>
                <w:color w:val="auto"/>
                <w:highlight w:val="none"/>
              </w:rPr>
              <w:t>联系电话：</w:t>
            </w:r>
            <w:r>
              <w:rPr>
                <w:rFonts w:ascii="宋体" w:hAnsi="宋体" w:cs="宋体"/>
                <w:color w:val="auto"/>
                <w:highlight w:val="none"/>
                <w:u w:val="single"/>
              </w:rPr>
              <w:t>0760-86937513</w:t>
            </w:r>
            <w:r>
              <w:rPr>
                <w:rFonts w:hint="eastAsia" w:ascii="宋体" w:hAnsi="宋体" w:cs="宋体"/>
                <w:color w:val="auto"/>
                <w:highlight w:val="none"/>
              </w:rPr>
              <w:t>，</w:t>
            </w:r>
            <w:r>
              <w:rPr>
                <w:rFonts w:hint="eastAsia" w:ascii="宋体" w:hAnsi="宋体" w:cs="宋体"/>
                <w:color w:val="auto"/>
                <w:highlight w:val="none"/>
              </w:rPr>
              <w:br w:type="textWrapping"/>
            </w:r>
            <w:r>
              <w:rPr>
                <w:rFonts w:hint="eastAsia" w:ascii="宋体" w:hAnsi="宋体" w:cs="宋体"/>
                <w:color w:val="auto"/>
                <w:highlight w:val="none"/>
              </w:rPr>
              <w:t>邮箱：</w:t>
            </w:r>
            <w:r>
              <w:rPr>
                <w:color w:val="auto"/>
                <w:highlight w:val="none"/>
              </w:rPr>
              <w:fldChar w:fldCharType="begin"/>
            </w:r>
            <w:r>
              <w:rPr>
                <w:color w:val="auto"/>
                <w:highlight w:val="none"/>
              </w:rPr>
              <w:instrText xml:space="preserve"> HYPERLINK "mailto:gdrxzs@163.com" </w:instrText>
            </w:r>
            <w:r>
              <w:rPr>
                <w:color w:val="auto"/>
                <w:highlight w:val="none"/>
              </w:rPr>
              <w:fldChar w:fldCharType="separate"/>
            </w:r>
            <w:r>
              <w:rPr>
                <w:rStyle w:val="32"/>
                <w:rFonts w:ascii="宋体" w:hAnsi="宋体" w:cs="宋体"/>
                <w:color w:val="auto"/>
                <w:highlight w:val="none"/>
              </w:rPr>
              <w:t>fhxmgl@163.com</w:t>
            </w:r>
            <w:r>
              <w:rPr>
                <w:rStyle w:val="32"/>
                <w:rFonts w:ascii="宋体" w:hAnsi="宋体" w:cs="宋体"/>
                <w:color w:val="auto"/>
                <w:highlight w:val="none"/>
              </w:rPr>
              <w:fldChar w:fldCharType="end"/>
            </w:r>
            <w:r>
              <w:rPr>
                <w:rFonts w:hint="eastAsia" w:ascii="宋体" w:hAnsi="宋体" w:cs="宋体"/>
                <w:color w:val="auto"/>
                <w:highlight w:val="none"/>
                <w:u w:val="single"/>
              </w:rPr>
              <w:t>，</w:t>
            </w:r>
            <w:r>
              <w:rPr>
                <w:rFonts w:hint="eastAsia" w:ascii="宋体" w:hAnsi="宋体" w:cs="宋体"/>
                <w:color w:val="auto"/>
                <w:highlight w:val="none"/>
                <w:u w:val="single"/>
              </w:rPr>
              <w:br w:type="textWrapping"/>
            </w:r>
            <w:r>
              <w:rPr>
                <w:rFonts w:hint="eastAsia" w:ascii="宋体" w:hAnsi="宋体" w:cs="宋体"/>
                <w:color w:val="auto"/>
                <w:highlight w:val="none"/>
                <w:u w:val="single"/>
              </w:rPr>
              <w:t>地址：</w:t>
            </w:r>
            <w:r>
              <w:rPr>
                <w:rFonts w:hint="eastAsia" w:ascii="宋体" w:hAnsi="宋体"/>
                <w:bCs/>
                <w:color w:val="auto"/>
                <w:highlight w:val="none"/>
                <w:u w:val="single"/>
              </w:rPr>
              <w:t>中山市东区长江路33号汉宏盈基商务中心406室，方禾（广东）项目管理有限公司</w:t>
            </w:r>
            <w:r>
              <w:rPr>
                <w:rFonts w:hint="eastAsia" w:ascii="宋体" w:hAnsi="宋体" w:cs="宋体"/>
                <w:color w:val="auto"/>
                <w:highlight w:val="none"/>
              </w:rPr>
              <w:t>）。</w:t>
            </w:r>
          </w:p>
          <w:p>
            <w:pPr>
              <w:rPr>
                <w:rFonts w:ascii="宋体" w:hAnsi="宋体"/>
                <w:color w:val="auto"/>
                <w:szCs w:val="21"/>
                <w:highlight w:val="none"/>
              </w:rPr>
            </w:pPr>
            <w:r>
              <w:rPr>
                <w:rFonts w:hint="eastAsia" w:ascii="宋体" w:hAnsi="宋体"/>
                <w:color w:val="auto"/>
                <w:szCs w:val="21"/>
                <w:highlight w:val="none"/>
              </w:rPr>
              <w:t>招标人（招标代理）收集相关问题，对投标人提出的疑问进行回复</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1.10</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投标人提出问题的截止时间</w:t>
            </w:r>
          </w:p>
        </w:tc>
        <w:tc>
          <w:tcPr>
            <w:tcW w:w="4961" w:type="dxa"/>
            <w:vAlign w:val="center"/>
          </w:tcPr>
          <w:p>
            <w:pPr>
              <w:jc w:val="center"/>
              <w:rPr>
                <w:rFonts w:ascii="宋体" w:hAnsi="宋体"/>
                <w:b/>
                <w:color w:val="auto"/>
                <w:highlight w:val="none"/>
              </w:rPr>
            </w:pP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1.10</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招标人澄清的截止时间</w:t>
            </w:r>
          </w:p>
        </w:tc>
        <w:tc>
          <w:tcPr>
            <w:tcW w:w="4961" w:type="dxa"/>
            <w:vAlign w:val="center"/>
          </w:tcPr>
          <w:p>
            <w:pPr>
              <w:jc w:val="center"/>
              <w:rPr>
                <w:rFonts w:ascii="宋体" w:hAnsi="宋体"/>
                <w:b/>
                <w:color w:val="auto"/>
                <w:highlight w:val="none"/>
              </w:rPr>
            </w:pPr>
            <w:r>
              <w:rPr>
                <w:rFonts w:hint="eastAsia" w:ascii="宋体" w:hAnsi="宋体"/>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分包</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■不允许</w:t>
            </w:r>
          </w:p>
          <w:p>
            <w:pPr>
              <w:widowControl w:val="0"/>
              <w:numPr>
                <w:ilvl w:val="0"/>
                <w:numId w:val="2"/>
              </w:numPr>
              <w:tabs>
                <w:tab w:val="left" w:pos="317"/>
                <w:tab w:val="clear" w:pos="360"/>
              </w:tabs>
              <w:ind w:left="0" w:firstLine="0"/>
              <w:jc w:val="both"/>
              <w:rPr>
                <w:rFonts w:ascii="宋体" w:hAnsi="宋体"/>
                <w:color w:val="auto"/>
                <w:szCs w:val="21"/>
                <w:highlight w:val="none"/>
              </w:rPr>
            </w:pPr>
            <w:r>
              <w:rPr>
                <w:rFonts w:hint="eastAsia" w:ascii="宋体" w:hAnsi="宋体"/>
                <w:color w:val="auto"/>
                <w:szCs w:val="21"/>
                <w:highlight w:val="none"/>
              </w:rPr>
              <w:t>允许,分包内容要求:</w:t>
            </w:r>
          </w:p>
          <w:p>
            <w:pPr>
              <w:rPr>
                <w:rFonts w:ascii="宋体" w:hAnsi="宋体"/>
                <w:color w:val="auto"/>
                <w:szCs w:val="21"/>
                <w:highlight w:val="none"/>
              </w:rPr>
            </w:pPr>
            <w:r>
              <w:rPr>
                <w:rFonts w:hint="eastAsia" w:ascii="宋体" w:hAnsi="宋体"/>
                <w:color w:val="auto"/>
                <w:szCs w:val="21"/>
                <w:highlight w:val="none"/>
              </w:rPr>
              <w:t>分包金额要求:</w:t>
            </w:r>
          </w:p>
          <w:p>
            <w:pPr>
              <w:rPr>
                <w:rFonts w:ascii="宋体" w:hAnsi="宋体"/>
                <w:color w:val="auto"/>
                <w:szCs w:val="21"/>
                <w:highlight w:val="none"/>
              </w:rPr>
            </w:pPr>
            <w:r>
              <w:rPr>
                <w:rFonts w:hint="eastAsia" w:ascii="宋体" w:hAnsi="宋体"/>
                <w:color w:val="auto"/>
                <w:szCs w:val="21"/>
                <w:highlight w:val="none"/>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1.12</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偏离</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■不允许</w:t>
            </w:r>
          </w:p>
          <w:p>
            <w:pPr>
              <w:widowControl w:val="0"/>
              <w:numPr>
                <w:ilvl w:val="0"/>
                <w:numId w:val="2"/>
              </w:numPr>
              <w:tabs>
                <w:tab w:val="left" w:pos="317"/>
                <w:tab w:val="clear" w:pos="360"/>
              </w:tabs>
              <w:ind w:left="0" w:firstLine="0"/>
              <w:jc w:val="both"/>
              <w:rPr>
                <w:rFonts w:ascii="宋体" w:hAnsi="宋体"/>
                <w:color w:val="auto"/>
                <w:szCs w:val="21"/>
                <w:highlight w:val="none"/>
              </w:rPr>
            </w:pPr>
            <w:r>
              <w:rPr>
                <w:rFonts w:hint="eastAsia" w:ascii="宋体" w:hAnsi="宋体"/>
                <w:color w:val="auto"/>
                <w:szCs w:val="21"/>
                <w:highlight w:val="none"/>
              </w:rPr>
              <w:t>允许</w:t>
            </w:r>
          </w:p>
          <w:p>
            <w:pPr>
              <w:rPr>
                <w:rFonts w:ascii="宋体" w:hAnsi="宋体"/>
                <w:color w:val="auto"/>
                <w:szCs w:val="21"/>
                <w:highlight w:val="none"/>
              </w:rPr>
            </w:pPr>
            <w:r>
              <w:rPr>
                <w:rFonts w:hint="eastAsia" w:ascii="宋体" w:hAnsi="宋体"/>
                <w:color w:val="auto"/>
                <w:szCs w:val="21"/>
                <w:highlight w:val="none"/>
              </w:rPr>
              <w:t>可偏离的项目和范围见第七章</w:t>
            </w:r>
          </w:p>
          <w:p>
            <w:pPr>
              <w:rPr>
                <w:rFonts w:ascii="宋体" w:hAnsi="宋体"/>
                <w:color w:val="auto"/>
                <w:szCs w:val="21"/>
                <w:highlight w:val="none"/>
              </w:rPr>
            </w:pPr>
            <w:r>
              <w:rPr>
                <w:rFonts w:hint="eastAsia" w:ascii="宋体" w:hAnsi="宋体"/>
                <w:color w:val="auto"/>
                <w:szCs w:val="21"/>
                <w:highlight w:val="none"/>
              </w:rPr>
              <w:t xml:space="preserve">       “技术标准和要求”：</w:t>
            </w:r>
          </w:p>
          <w:p>
            <w:pPr>
              <w:rPr>
                <w:rFonts w:ascii="宋体" w:hAnsi="宋体"/>
                <w:color w:val="auto"/>
                <w:szCs w:val="21"/>
                <w:highlight w:val="none"/>
              </w:rPr>
            </w:pPr>
            <w:r>
              <w:rPr>
                <w:rFonts w:hint="eastAsia" w:ascii="宋体" w:hAnsi="宋体"/>
                <w:color w:val="auto"/>
                <w:szCs w:val="21"/>
                <w:highlight w:val="none"/>
              </w:rPr>
              <w:t xml:space="preserve">        允许偏离最高项数：</w:t>
            </w:r>
            <w:r>
              <w:rPr>
                <w:rFonts w:hint="eastAsia" w:ascii="宋体" w:hAnsi="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 xml:space="preserve">        偏差调整方法：</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2.1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构成招标文件的其他材料</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施工设计图、工程量清单（招标控制价）、招标答疑文件等。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2.2.1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投标人要求澄清招标文件的截止时间</w:t>
            </w:r>
          </w:p>
        </w:tc>
        <w:tc>
          <w:tcPr>
            <w:tcW w:w="496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2.2.2</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投标截止时间</w:t>
            </w:r>
          </w:p>
        </w:tc>
        <w:tc>
          <w:tcPr>
            <w:tcW w:w="4961" w:type="dxa"/>
            <w:vAlign w:val="center"/>
          </w:tcPr>
          <w:p>
            <w:pPr>
              <w:jc w:val="center"/>
              <w:rPr>
                <w:rFonts w:ascii="宋体" w:hAnsi="宋体"/>
                <w:color w:val="auto"/>
                <w:szCs w:val="21"/>
                <w:highlight w:val="none"/>
              </w:rPr>
            </w:pPr>
            <w:r>
              <w:rPr>
                <w:rFonts w:hint="eastAsia" w:ascii="宋体" w:hAnsi="宋体"/>
                <w:color w:val="auto"/>
                <w:szCs w:val="21"/>
                <w:highlight w:val="none"/>
              </w:rPr>
              <w:t>见邀请招标公告。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5.1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开标时间</w:t>
            </w:r>
          </w:p>
        </w:tc>
        <w:tc>
          <w:tcPr>
            <w:tcW w:w="4961" w:type="dxa"/>
            <w:vAlign w:val="center"/>
          </w:tcPr>
          <w:p>
            <w:pPr>
              <w:jc w:val="center"/>
              <w:rPr>
                <w:rFonts w:ascii="宋体" w:hAnsi="宋体"/>
                <w:color w:val="auto"/>
                <w:szCs w:val="21"/>
                <w:highlight w:val="none"/>
                <w:u w:val="single"/>
              </w:rPr>
            </w:pPr>
            <w:r>
              <w:rPr>
                <w:rFonts w:hint="eastAsia" w:ascii="宋体" w:hAnsi="宋体"/>
                <w:color w:val="auto"/>
                <w:szCs w:val="21"/>
                <w:highlight w:val="none"/>
              </w:rPr>
              <w:t>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3.1.1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构成投标文件的其他材料</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 xml:space="preserve">    投标人认为需提交的其他资料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3.2.1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投标有效期</w:t>
            </w:r>
          </w:p>
        </w:tc>
        <w:tc>
          <w:tcPr>
            <w:tcW w:w="4961" w:type="dxa"/>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90 </w:t>
            </w:r>
            <w:r>
              <w:rPr>
                <w:rFonts w:hint="eastAsia" w:ascii="宋体" w:hAnsi="宋体"/>
                <w:color w:val="auto"/>
                <w:szCs w:val="21"/>
                <w:highlight w:val="none"/>
              </w:rPr>
              <w:t>日历天</w:t>
            </w:r>
            <w:r>
              <w:rPr>
                <w:rFonts w:hint="eastAsia" w:ascii="宋体" w:hAnsi="宋体"/>
                <w:color w:val="auto"/>
                <w:highlight w:val="none"/>
              </w:rPr>
              <w:t>（</w:t>
            </w:r>
            <w:r>
              <w:rPr>
                <w:rFonts w:hint="eastAsia" w:ascii="宋体" w:hAnsi="宋体"/>
                <w:color w:val="auto"/>
                <w:szCs w:val="21"/>
                <w:highlight w:val="none"/>
              </w:rPr>
              <w:t>自开标之日起</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3.3</w:t>
            </w:r>
          </w:p>
        </w:tc>
        <w:tc>
          <w:tcPr>
            <w:tcW w:w="3601" w:type="dxa"/>
            <w:vAlign w:val="center"/>
          </w:tcPr>
          <w:p>
            <w:pPr>
              <w:rPr>
                <w:color w:val="auto"/>
                <w:highlight w:val="none"/>
              </w:rPr>
            </w:pPr>
            <w:r>
              <w:rPr>
                <w:rFonts w:hint="eastAsia"/>
                <w:color w:val="auto"/>
                <w:highlight w:val="none"/>
              </w:rPr>
              <w:t>投标保证金</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投标保证金的形式：</w:t>
            </w:r>
            <w:r>
              <w:rPr>
                <w:rFonts w:hint="eastAsia" w:ascii="宋体" w:hAnsi="宋体"/>
                <w:color w:val="auto"/>
                <w:szCs w:val="21"/>
                <w:highlight w:val="none"/>
                <w:u w:val="single"/>
              </w:rPr>
              <w:t xml:space="preserve">     /    </w:t>
            </w:r>
          </w:p>
          <w:p>
            <w:pPr>
              <w:autoSpaceDE w:val="0"/>
              <w:autoSpaceDN w:val="0"/>
              <w:adjustRightInd w:val="0"/>
              <w:rPr>
                <w:color w:val="auto"/>
                <w:highlight w:val="none"/>
              </w:rPr>
            </w:pPr>
            <w:r>
              <w:rPr>
                <w:rFonts w:hint="eastAsia" w:ascii="宋体" w:hAnsi="宋体"/>
                <w:color w:val="auto"/>
                <w:szCs w:val="21"/>
                <w:highlight w:val="none"/>
              </w:rPr>
              <w:t>投标保证金的金额：</w:t>
            </w:r>
            <w:r>
              <w:rPr>
                <w:rFonts w:hint="eastAsia" w:ascii="宋体" w:hAnsi="宋体"/>
                <w:color w:val="auto"/>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3.4</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是否允许递交备选投标方案</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 不允许</w:t>
            </w:r>
          </w:p>
          <w:p>
            <w:pPr>
              <w:widowControl w:val="0"/>
              <w:numPr>
                <w:ilvl w:val="0"/>
                <w:numId w:val="2"/>
              </w:numPr>
              <w:tabs>
                <w:tab w:val="left" w:pos="317"/>
                <w:tab w:val="clear" w:pos="360"/>
              </w:tabs>
              <w:ind w:left="0" w:firstLine="0"/>
              <w:jc w:val="both"/>
              <w:rPr>
                <w:rFonts w:ascii="宋体" w:hAnsi="宋体"/>
                <w:color w:val="auto"/>
                <w:szCs w:val="21"/>
                <w:highlight w:val="none"/>
              </w:rPr>
            </w:pPr>
            <w:r>
              <w:rPr>
                <w:rFonts w:hint="eastAsia" w:ascii="宋体" w:hAnsi="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3.1.1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签字或盖章要求</w:t>
            </w:r>
          </w:p>
        </w:tc>
        <w:tc>
          <w:tcPr>
            <w:tcW w:w="4961" w:type="dxa"/>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 xml:space="preserve">1.投标文件封面：由法定代表人或其代理人签字并加盖单位公章； </w:t>
            </w:r>
          </w:p>
          <w:p>
            <w:pPr>
              <w:autoSpaceDE w:val="0"/>
              <w:autoSpaceDN w:val="0"/>
              <w:adjustRightInd w:val="0"/>
              <w:rPr>
                <w:rFonts w:ascii="宋体" w:hAnsi="宋体"/>
                <w:color w:val="auto"/>
                <w:szCs w:val="21"/>
                <w:highlight w:val="none"/>
              </w:rPr>
            </w:pPr>
            <w:r>
              <w:rPr>
                <w:rFonts w:hint="eastAsia" w:ascii="宋体" w:hAnsi="宋体"/>
                <w:color w:val="auto"/>
                <w:szCs w:val="21"/>
                <w:highlight w:val="none"/>
              </w:rPr>
              <w:t xml:space="preserve">2.承诺书：由法定代表人或其代理人签字并加盖单位章； </w:t>
            </w:r>
          </w:p>
          <w:p>
            <w:pPr>
              <w:rPr>
                <w:rFonts w:ascii="宋体" w:hAnsi="宋体"/>
                <w:color w:val="auto"/>
                <w:szCs w:val="21"/>
                <w:highlight w:val="none"/>
              </w:rPr>
            </w:pPr>
            <w:r>
              <w:rPr>
                <w:rFonts w:hint="eastAsia" w:ascii="宋体" w:hAnsi="宋体"/>
                <w:color w:val="auto"/>
                <w:szCs w:val="21"/>
                <w:highlight w:val="none"/>
              </w:rPr>
              <w:t xml:space="preserve">3.投标总价：由法定代表人或其代理人签字、加盖单位章； </w:t>
            </w:r>
          </w:p>
          <w:p>
            <w:pPr>
              <w:autoSpaceDE w:val="0"/>
              <w:autoSpaceDN w:val="0"/>
              <w:adjustRightInd w:val="0"/>
              <w:rPr>
                <w:rFonts w:ascii="宋体" w:hAnsi="宋体"/>
                <w:color w:val="auto"/>
                <w:szCs w:val="21"/>
                <w:highlight w:val="none"/>
              </w:rPr>
            </w:pPr>
            <w:r>
              <w:rPr>
                <w:rFonts w:hint="eastAsia" w:ascii="宋体" w:hAnsi="宋体"/>
                <w:color w:val="auto"/>
                <w:szCs w:val="21"/>
                <w:highlight w:val="none"/>
              </w:rPr>
              <w:t xml:space="preserve">4.法定代表人身份证明：有单位公章； </w:t>
            </w:r>
          </w:p>
          <w:p>
            <w:pPr>
              <w:autoSpaceDE w:val="0"/>
              <w:autoSpaceDN w:val="0"/>
              <w:adjustRightInd w:val="0"/>
              <w:rPr>
                <w:rFonts w:ascii="宋体" w:hAnsi="宋体"/>
                <w:color w:val="auto"/>
                <w:szCs w:val="21"/>
                <w:highlight w:val="none"/>
              </w:rPr>
            </w:pPr>
            <w:r>
              <w:rPr>
                <w:rFonts w:hint="eastAsia" w:ascii="宋体" w:hAnsi="宋体"/>
                <w:color w:val="auto"/>
                <w:szCs w:val="21"/>
                <w:highlight w:val="none"/>
              </w:rPr>
              <w:t>5.授权委托书：有法定代表人签字并加盖单位公章。</w:t>
            </w:r>
          </w:p>
          <w:p>
            <w:pPr>
              <w:rPr>
                <w:rFonts w:ascii="宋体" w:hAnsi="宋体"/>
                <w:color w:val="auto"/>
                <w:szCs w:val="21"/>
                <w:highlight w:val="none"/>
              </w:rPr>
            </w:pPr>
            <w:r>
              <w:rPr>
                <w:rFonts w:hint="eastAsia" w:ascii="宋体" w:hAnsi="宋体"/>
                <w:color w:val="auto"/>
                <w:szCs w:val="21"/>
                <w:highlight w:val="none"/>
              </w:rPr>
              <w:t>签字要求：文件中要求由法定代表人或代理人签字处须由法定代表人或代理人签字（不允许盖私章代替签字）；</w:t>
            </w:r>
          </w:p>
          <w:p>
            <w:pPr>
              <w:rPr>
                <w:rFonts w:ascii="宋体" w:hAnsi="宋体"/>
                <w:color w:val="auto"/>
                <w:szCs w:val="21"/>
                <w:highlight w:val="none"/>
              </w:rPr>
            </w:pPr>
            <w:r>
              <w:rPr>
                <w:rFonts w:hint="eastAsia" w:ascii="宋体" w:hAnsi="宋体"/>
                <w:color w:val="auto"/>
                <w:szCs w:val="21"/>
                <w:highlight w:val="none"/>
              </w:rPr>
              <w:t>盖章要求：文件中要求加盖公章处需加盖公章。</w:t>
            </w:r>
          </w:p>
          <w:p>
            <w:pPr>
              <w:rPr>
                <w:rFonts w:ascii="宋体" w:hAnsi="宋体"/>
                <w:color w:val="auto"/>
                <w:szCs w:val="21"/>
                <w:highlight w:val="none"/>
              </w:rPr>
            </w:pPr>
            <w:r>
              <w:rPr>
                <w:rFonts w:hint="eastAsia" w:ascii="宋体" w:hAnsi="宋体"/>
                <w:color w:val="auto"/>
                <w:szCs w:val="21"/>
                <w:highlight w:val="none"/>
              </w:rPr>
              <w:t>联合体投标的，要求如何签字、盖章。（即需要签字盖章处均由联合体各方的法定代表人（代理人）签字并加盖各方单位公章或是由联合体牵头单位的法定代表人（代理人）签字并加盖牵头单位公章）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3.1.1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投标文件份数</w:t>
            </w:r>
          </w:p>
        </w:tc>
        <w:tc>
          <w:tcPr>
            <w:tcW w:w="4961" w:type="dxa"/>
            <w:vAlign w:val="center"/>
          </w:tcPr>
          <w:p>
            <w:pPr>
              <w:autoSpaceDE w:val="0"/>
              <w:autoSpaceDN w:val="0"/>
              <w:adjustRightInd w:val="0"/>
              <w:rPr>
                <w:rFonts w:ascii="宋体" w:hAnsi="宋体"/>
                <w:color w:val="auto"/>
                <w:highlight w:val="none"/>
              </w:rPr>
            </w:pPr>
            <w:r>
              <w:rPr>
                <w:rFonts w:hint="eastAsia" w:ascii="宋体" w:hAnsi="宋体"/>
                <w:color w:val="auto"/>
                <w:highlight w:val="none"/>
              </w:rPr>
              <w:t>纸质标书（开标时提交）</w:t>
            </w:r>
          </w:p>
          <w:p>
            <w:pPr>
              <w:autoSpaceDE w:val="0"/>
              <w:autoSpaceDN w:val="0"/>
              <w:adjustRightInd w:val="0"/>
              <w:ind w:right="180"/>
              <w:rPr>
                <w:rFonts w:ascii="宋体" w:hAnsi="宋体"/>
                <w:color w:val="auto"/>
                <w:highlight w:val="none"/>
              </w:rPr>
            </w:pPr>
            <w:r>
              <w:rPr>
                <w:rFonts w:hint="eastAsia" w:ascii="宋体" w:hAnsi="宋体"/>
                <w:color w:val="auto"/>
                <w:highlight w:val="none"/>
              </w:rPr>
              <w:t>基本资料：正本1份，须为原件；副本3份，为正本的复印件。正副本封面均须加盖投标人公章，在正副本的封面右上角注明“正本”或“副本”）。</w:t>
            </w:r>
          </w:p>
          <w:p>
            <w:pPr>
              <w:autoSpaceDE w:val="0"/>
              <w:autoSpaceDN w:val="0"/>
              <w:adjustRightInd w:val="0"/>
              <w:ind w:right="180"/>
              <w:rPr>
                <w:rFonts w:ascii="宋体" w:hAnsi="宋体"/>
                <w:color w:val="auto"/>
                <w:highlight w:val="none"/>
              </w:rPr>
            </w:pPr>
            <w:r>
              <w:rPr>
                <w:rFonts w:hint="eastAsia" w:ascii="宋体" w:hAnsi="宋体"/>
                <w:color w:val="auto"/>
                <w:highlight w:val="none"/>
              </w:rPr>
              <w:t>经济标函：正本1份，须为原件；副本3份，为正本的复印件。正副本封面均须加盖投标人公章，在正副本的封面右上角注明“正本”或“副本”）。</w:t>
            </w:r>
          </w:p>
          <w:p>
            <w:pPr>
              <w:autoSpaceDE w:val="0"/>
              <w:autoSpaceDN w:val="0"/>
              <w:adjustRightInd w:val="0"/>
              <w:ind w:right="180"/>
              <w:rPr>
                <w:rFonts w:ascii="宋体" w:hAnsi="宋体"/>
                <w:color w:val="auto"/>
                <w:highlight w:val="none"/>
              </w:rPr>
            </w:pPr>
            <w:r>
              <w:rPr>
                <w:rFonts w:hint="eastAsia" w:ascii="宋体" w:hAnsi="宋体"/>
                <w:color w:val="auto"/>
                <w:highlight w:val="none"/>
              </w:rPr>
              <w:t>按3.1.1要求签字和盖章。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3.1.1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投标文件编制要求</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编制要求：按3.1.1顺序编制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5.1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开标地点</w:t>
            </w:r>
          </w:p>
        </w:tc>
        <w:tc>
          <w:tcPr>
            <w:tcW w:w="4961" w:type="dxa"/>
            <w:vAlign w:val="center"/>
          </w:tcPr>
          <w:p>
            <w:pPr>
              <w:rPr>
                <w:rFonts w:ascii="宋体" w:hAnsi="宋体"/>
                <w:color w:val="auto"/>
                <w:kern w:val="2"/>
                <w:sz w:val="21"/>
                <w:szCs w:val="21"/>
                <w:highlight w:val="none"/>
              </w:rPr>
            </w:pPr>
            <w:r>
              <w:rPr>
                <w:rFonts w:hint="eastAsia" w:ascii="宋体" w:hAnsi="宋体"/>
                <w:color w:val="auto"/>
                <w:szCs w:val="21"/>
                <w:highlight w:val="none"/>
              </w:rPr>
              <w:t>中山市东区长江路33号汉宏盈基商务中心406室，方禾（广东）项目管理有限公司。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5.2</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开标程序</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详见投标人须知总则5.2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6.1.1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评标委员会构成:</w:t>
            </w:r>
            <w:r>
              <w:rPr>
                <w:rFonts w:hint="eastAsia" w:ascii="宋体" w:hAnsi="宋体"/>
                <w:color w:val="auto"/>
                <w:szCs w:val="21"/>
                <w:highlight w:val="none"/>
                <w:u w:val="single"/>
              </w:rPr>
              <w:t xml:space="preserve"> 3 </w:t>
            </w:r>
            <w:r>
              <w:rPr>
                <w:rFonts w:hint="eastAsia" w:ascii="宋体" w:hAnsi="宋体"/>
                <w:color w:val="auto"/>
                <w:szCs w:val="21"/>
                <w:highlight w:val="none"/>
              </w:rPr>
              <w:t>人。</w:t>
            </w:r>
          </w:p>
          <w:p>
            <w:pPr>
              <w:rPr>
                <w:rFonts w:ascii="宋体" w:hAnsi="宋体"/>
                <w:b/>
                <w:color w:val="auto"/>
                <w:szCs w:val="21"/>
                <w:highlight w:val="none"/>
              </w:rPr>
            </w:pPr>
            <w:r>
              <w:rPr>
                <w:rFonts w:hint="eastAsia" w:ascii="宋体" w:hAnsi="宋体"/>
                <w:color w:val="auto"/>
                <w:szCs w:val="21"/>
                <w:highlight w:val="none"/>
              </w:rPr>
              <w:t>评标专家确定方式：在专家库中随机抽取。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7.1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4961" w:type="dxa"/>
            <w:vAlign w:val="center"/>
          </w:tcPr>
          <w:p>
            <w:pPr>
              <w:widowControl w:val="0"/>
              <w:numPr>
                <w:ilvl w:val="0"/>
                <w:numId w:val="2"/>
              </w:numPr>
              <w:tabs>
                <w:tab w:val="left" w:pos="317"/>
                <w:tab w:val="clear" w:pos="360"/>
              </w:tabs>
              <w:ind w:left="0" w:firstLine="0"/>
              <w:jc w:val="both"/>
              <w:rPr>
                <w:rFonts w:ascii="宋体" w:hAnsi="宋体"/>
                <w:color w:val="auto"/>
                <w:szCs w:val="21"/>
                <w:highlight w:val="none"/>
              </w:rPr>
            </w:pPr>
            <w:r>
              <w:rPr>
                <w:rFonts w:hint="eastAsia" w:ascii="宋体" w:hAnsi="宋体"/>
                <w:color w:val="auto"/>
                <w:szCs w:val="21"/>
                <w:highlight w:val="none"/>
              </w:rPr>
              <w:t>是</w:t>
            </w:r>
          </w:p>
          <w:p>
            <w:pPr>
              <w:rPr>
                <w:rFonts w:ascii="宋体" w:hAnsi="宋体"/>
                <w:color w:val="auto"/>
                <w:szCs w:val="21"/>
                <w:highlight w:val="none"/>
              </w:rPr>
            </w:pPr>
            <w:r>
              <w:rPr>
                <w:rFonts w:hint="eastAsia" w:ascii="宋体" w:hAnsi="宋体"/>
                <w:color w:val="auto"/>
                <w:szCs w:val="21"/>
                <w:highlight w:val="none"/>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7.3.1</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履约担保</w:t>
            </w:r>
          </w:p>
        </w:tc>
        <w:tc>
          <w:tcPr>
            <w:tcW w:w="4961" w:type="dxa"/>
            <w:vAlign w:val="center"/>
          </w:tcPr>
          <w:p>
            <w:pPr>
              <w:rPr>
                <w:rFonts w:ascii="宋体" w:hAnsi="宋体"/>
                <w:color w:val="auto"/>
                <w:szCs w:val="21"/>
                <w:highlight w:val="none"/>
              </w:rPr>
            </w:pPr>
            <w:r>
              <w:rPr>
                <w:rFonts w:hint="eastAsia" w:ascii="宋体" w:hAnsi="宋体"/>
                <w:color w:val="auto"/>
                <w:szCs w:val="21"/>
                <w:highlight w:val="none"/>
              </w:rPr>
              <w:t>履约担保的形式：</w:t>
            </w:r>
            <w:r>
              <w:rPr>
                <w:rFonts w:hint="eastAsia" w:ascii="宋体" w:hAnsi="宋体"/>
                <w:color w:val="auto"/>
                <w:szCs w:val="21"/>
                <w:highlight w:val="none"/>
                <w:u w:val="single"/>
              </w:rPr>
              <w:t xml:space="preserve">     /    </w:t>
            </w:r>
          </w:p>
          <w:p>
            <w:pPr>
              <w:rPr>
                <w:rFonts w:ascii="宋体" w:hAnsi="宋体"/>
                <w:color w:val="auto"/>
                <w:szCs w:val="21"/>
                <w:highlight w:val="none"/>
              </w:rPr>
            </w:pPr>
            <w:r>
              <w:rPr>
                <w:rFonts w:hint="eastAsia" w:ascii="宋体" w:hAnsi="宋体"/>
                <w:color w:val="auto"/>
                <w:szCs w:val="21"/>
                <w:highlight w:val="none"/>
              </w:rPr>
              <w:t>履约担保的金额：</w:t>
            </w:r>
            <w:r>
              <w:rPr>
                <w:rFonts w:hint="eastAsia" w:ascii="宋体" w:hAnsi="宋体"/>
                <w:color w:val="auto"/>
                <w:szCs w:val="21"/>
                <w:highlight w:val="none"/>
                <w:u w:val="single"/>
              </w:rPr>
              <w:t xml:space="preserve">     无    </w:t>
            </w:r>
            <w:r>
              <w:rPr>
                <w:rFonts w:hint="eastAsia" w:ascii="宋体" w:hAnsi="宋体"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3601" w:type="dxa"/>
            <w:vAlign w:val="center"/>
          </w:tcPr>
          <w:p>
            <w:pPr>
              <w:jc w:val="center"/>
              <w:rPr>
                <w:rFonts w:ascii="宋体" w:hAnsi="宋体"/>
                <w:color w:val="auto"/>
                <w:szCs w:val="21"/>
                <w:highlight w:val="none"/>
              </w:rPr>
            </w:pPr>
            <w:r>
              <w:rPr>
                <w:rFonts w:hint="eastAsia" w:ascii="宋体" w:hAnsi="宋体"/>
                <w:color w:val="auto"/>
                <w:szCs w:val="21"/>
                <w:highlight w:val="none"/>
              </w:rPr>
              <w:t>投标人纪律</w:t>
            </w:r>
          </w:p>
        </w:tc>
        <w:tc>
          <w:tcPr>
            <w:tcW w:w="4961" w:type="dxa"/>
            <w:vAlign w:val="center"/>
          </w:tcPr>
          <w:p>
            <w:pPr>
              <w:jc w:val="center"/>
              <w:rPr>
                <w:rFonts w:ascii="宋体" w:hAnsi="宋体"/>
                <w:color w:val="auto"/>
                <w:szCs w:val="21"/>
                <w:highlight w:val="none"/>
              </w:rPr>
            </w:pPr>
            <w:r>
              <w:rPr>
                <w:rFonts w:hint="eastAsia" w:ascii="宋体" w:hAnsi="宋体"/>
                <w:color w:val="auto"/>
                <w:szCs w:val="21"/>
                <w:highlight w:val="none"/>
              </w:rPr>
              <w:t>投标人必须独立编制投标文件。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8562"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9.1</w:t>
            </w:r>
          </w:p>
        </w:tc>
        <w:tc>
          <w:tcPr>
            <w:tcW w:w="8562" w:type="dxa"/>
            <w:gridSpan w:val="2"/>
            <w:vAlign w:val="center"/>
          </w:tcPr>
          <w:p>
            <w:pPr>
              <w:rPr>
                <w:rFonts w:ascii="宋体" w:hAnsi="宋体"/>
                <w:color w:val="auto"/>
                <w:szCs w:val="21"/>
                <w:highlight w:val="none"/>
              </w:rPr>
            </w:pPr>
            <w:r>
              <w:rPr>
                <w:rFonts w:hint="eastAsia" w:ascii="宋体" w:hAnsi="宋体"/>
                <w:color w:val="auto"/>
                <w:szCs w:val="21"/>
                <w:highlight w:val="none"/>
              </w:rPr>
              <w:t>投标报价上限价及绿色施工安全防护措施费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9.2</w:t>
            </w:r>
          </w:p>
        </w:tc>
        <w:tc>
          <w:tcPr>
            <w:tcW w:w="8562" w:type="dxa"/>
            <w:gridSpan w:val="2"/>
            <w:vAlign w:val="center"/>
          </w:tcPr>
          <w:p>
            <w:pPr>
              <w:rPr>
                <w:rFonts w:ascii="宋体" w:hAnsi="宋体"/>
                <w:color w:val="auto"/>
                <w:szCs w:val="21"/>
                <w:highlight w:val="none"/>
              </w:rPr>
            </w:pPr>
            <w:r>
              <w:rPr>
                <w:rFonts w:hint="eastAsia" w:ascii="宋体" w:hAnsi="宋体"/>
                <w:color w:val="auto"/>
                <w:szCs w:val="21"/>
                <w:highlight w:val="none"/>
              </w:rPr>
              <w:t>合同价格和承包标准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9.3</w:t>
            </w:r>
          </w:p>
        </w:tc>
        <w:tc>
          <w:tcPr>
            <w:tcW w:w="8562" w:type="dxa"/>
            <w:gridSpan w:val="2"/>
            <w:vAlign w:val="center"/>
          </w:tcPr>
          <w:p>
            <w:pPr>
              <w:rPr>
                <w:rFonts w:ascii="宋体" w:hAnsi="宋体"/>
                <w:color w:val="auto"/>
                <w:szCs w:val="21"/>
                <w:highlight w:val="none"/>
              </w:rPr>
            </w:pPr>
            <w:r>
              <w:rPr>
                <w:rFonts w:hint="eastAsia" w:ascii="宋体" w:hAnsi="宋体"/>
                <w:color w:val="auto"/>
                <w:szCs w:val="21"/>
                <w:highlight w:val="none"/>
              </w:rPr>
              <w:t>有关事项：无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2" w:hRule="atLeast"/>
        </w:trPr>
        <w:tc>
          <w:tcPr>
            <w:tcW w:w="1077" w:type="dxa"/>
            <w:vAlign w:val="center"/>
          </w:tcPr>
          <w:p>
            <w:pPr>
              <w:jc w:val="center"/>
              <w:rPr>
                <w:rFonts w:ascii="宋体" w:hAnsi="宋体"/>
                <w:color w:val="auto"/>
                <w:szCs w:val="21"/>
                <w:highlight w:val="none"/>
              </w:rPr>
            </w:pPr>
            <w:r>
              <w:rPr>
                <w:rFonts w:hint="eastAsia" w:ascii="宋体" w:hAnsi="宋体"/>
                <w:color w:val="auto"/>
                <w:szCs w:val="21"/>
                <w:highlight w:val="none"/>
              </w:rPr>
              <w:t>9.4</w:t>
            </w:r>
          </w:p>
        </w:tc>
        <w:tc>
          <w:tcPr>
            <w:tcW w:w="8562" w:type="dxa"/>
            <w:gridSpan w:val="2"/>
            <w:vAlign w:val="center"/>
          </w:tcPr>
          <w:p>
            <w:pPr>
              <w:rPr>
                <w:rFonts w:ascii="宋体" w:hAnsi="宋体"/>
                <w:color w:val="auto"/>
                <w:szCs w:val="21"/>
                <w:highlight w:val="none"/>
              </w:rPr>
            </w:pPr>
            <w:r>
              <w:rPr>
                <w:rFonts w:hint="eastAsia" w:ascii="宋体" w:hAnsi="宋体"/>
                <w:color w:val="auto"/>
                <w:szCs w:val="21"/>
                <w:highlight w:val="none"/>
              </w:rPr>
              <w:t>招标代理服务费：本项目招标代理服务费由中标人向招标代理机构支付，招标代理服务费的收费标准按国家发展计划委员会颁发的（计价格[2002]1980号、发改价格[2011]534号）文件规定的工程类，以中标通知书的中标金额作为收费的计算依据，按差额定率累进法计算，由中标人在领取中标通知书前一次性支付给招标代理机构。（不足5000元的，按5000元收取）</w:t>
            </w:r>
          </w:p>
          <w:p>
            <w:pPr>
              <w:rPr>
                <w:rFonts w:ascii="宋体" w:hAnsi="宋体"/>
                <w:color w:val="auto"/>
                <w:szCs w:val="21"/>
                <w:highlight w:val="none"/>
              </w:rPr>
            </w:pPr>
            <w:r>
              <w:rPr>
                <w:rFonts w:hint="eastAsia" w:ascii="宋体" w:hAnsi="宋体"/>
                <w:bCs/>
                <w:color w:val="auto"/>
                <w:szCs w:val="21"/>
                <w:highlight w:val="none"/>
              </w:rPr>
              <w:t>由中标人在领取中标通知书前一次性支付给招标代理机构</w:t>
            </w:r>
            <w:r>
              <w:rPr>
                <w:rFonts w:hint="eastAsia" w:ascii="宋体" w:hAnsi="宋体"/>
                <w:color w:val="auto"/>
                <w:szCs w:val="21"/>
                <w:highlight w:val="none"/>
              </w:rPr>
              <w:t>。招标代理服务费不列在投标报价中。投标人参与本项目投标即已接受上述费用包含在投标报价中，中标后如不支付视为违约行为。</w:t>
            </w:r>
          </w:p>
        </w:tc>
      </w:tr>
    </w:tbl>
    <w:p>
      <w:pPr>
        <w:rPr>
          <w:rFonts w:ascii="宋体" w:hAnsi="宋体"/>
          <w:color w:val="auto"/>
          <w:sz w:val="21"/>
          <w:szCs w:val="21"/>
          <w:highlight w:val="none"/>
        </w:rPr>
      </w:pPr>
      <w:bookmarkStart w:id="19" w:name="_Toc184635071"/>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pStyle w:val="2"/>
        <w:rPr>
          <w:color w:val="auto"/>
          <w:highlight w:val="none"/>
        </w:rPr>
      </w:pPr>
    </w:p>
    <w:p>
      <w:pPr>
        <w:rPr>
          <w:color w:val="auto"/>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rPr>
          <w:rFonts w:ascii="宋体" w:hAnsi="宋体"/>
          <w:color w:val="auto"/>
          <w:sz w:val="21"/>
          <w:szCs w:val="21"/>
          <w:highlight w:val="none"/>
        </w:rPr>
      </w:pPr>
    </w:p>
    <w:p>
      <w:pPr>
        <w:spacing w:line="360" w:lineRule="auto"/>
        <w:rPr>
          <w:rFonts w:ascii="宋体" w:hAnsi="宋体"/>
          <w:color w:val="auto"/>
          <w:highlight w:val="none"/>
        </w:rPr>
      </w:pPr>
      <w:r>
        <w:rPr>
          <w:rFonts w:hint="eastAsia" w:ascii="宋体" w:hAnsi="宋体"/>
          <w:color w:val="auto"/>
          <w:highlight w:val="none"/>
        </w:rPr>
        <w:t>1 ．总则</w:t>
      </w:r>
      <w:bookmarkEnd w:id="19"/>
    </w:p>
    <w:p>
      <w:pPr>
        <w:spacing w:line="360" w:lineRule="auto"/>
        <w:rPr>
          <w:rFonts w:ascii="宋体" w:hAnsi="宋体"/>
          <w:color w:val="auto"/>
          <w:highlight w:val="none"/>
        </w:rPr>
      </w:pPr>
      <w:r>
        <w:rPr>
          <w:rFonts w:hint="eastAsia" w:ascii="宋体" w:hAnsi="宋体"/>
          <w:color w:val="auto"/>
          <w:highlight w:val="none"/>
        </w:rPr>
        <w:t>1.1 项目概况</w:t>
      </w:r>
    </w:p>
    <w:p>
      <w:pPr>
        <w:spacing w:line="360" w:lineRule="auto"/>
        <w:ind w:firstLine="480" w:firstLineChars="200"/>
        <w:rPr>
          <w:rFonts w:ascii="宋体" w:hAnsi="宋体"/>
          <w:color w:val="auto"/>
          <w:highlight w:val="none"/>
        </w:rPr>
      </w:pPr>
      <w:r>
        <w:rPr>
          <w:rFonts w:hint="eastAsia" w:ascii="宋体" w:hAnsi="宋体"/>
          <w:color w:val="auto"/>
          <w:highlight w:val="none"/>
        </w:rPr>
        <w:t>1.1.1 根据《 中华人民共和国招标投标法》等有关法律、法规和规章的规定，本招标项目己具备招标条件，现对本标段施工进行招标。</w:t>
      </w:r>
    </w:p>
    <w:p>
      <w:pPr>
        <w:spacing w:line="360" w:lineRule="auto"/>
        <w:ind w:firstLine="480" w:firstLineChars="200"/>
        <w:rPr>
          <w:rFonts w:ascii="宋体" w:hAnsi="宋体"/>
          <w:color w:val="auto"/>
          <w:highlight w:val="none"/>
        </w:rPr>
      </w:pPr>
      <w:r>
        <w:rPr>
          <w:rFonts w:hint="eastAsia" w:ascii="宋体" w:hAnsi="宋体"/>
          <w:color w:val="auto"/>
          <w:highlight w:val="none"/>
        </w:rPr>
        <w:t>1.1.2 本招标项目招标人：见投标人须知前附表。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1.1.3 本标段招标代理机构：见投标人须知前附表。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1.1.4 本招标项目名称：见投标人须知前附表。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1.1.5 本标段建设地点：见投标人须知前附表。</w:t>
      </w:r>
    </w:p>
    <w:p>
      <w:pPr>
        <w:spacing w:line="360" w:lineRule="auto"/>
        <w:rPr>
          <w:rFonts w:ascii="宋体" w:hAnsi="宋体"/>
          <w:color w:val="auto"/>
          <w:highlight w:val="none"/>
        </w:rPr>
      </w:pPr>
      <w:r>
        <w:rPr>
          <w:rFonts w:hint="eastAsia" w:ascii="宋体" w:hAnsi="宋体"/>
          <w:color w:val="auto"/>
          <w:highlight w:val="none"/>
        </w:rPr>
        <w:t>1.2 资金来源和落实情况</w:t>
      </w:r>
    </w:p>
    <w:p>
      <w:pPr>
        <w:spacing w:line="360" w:lineRule="auto"/>
        <w:ind w:firstLine="480" w:firstLineChars="200"/>
        <w:rPr>
          <w:rFonts w:ascii="宋体" w:hAnsi="宋体"/>
          <w:color w:val="auto"/>
          <w:highlight w:val="none"/>
        </w:rPr>
      </w:pPr>
      <w:r>
        <w:rPr>
          <w:rFonts w:hint="eastAsia" w:ascii="宋体" w:hAnsi="宋体"/>
          <w:color w:val="auto"/>
          <w:highlight w:val="none"/>
        </w:rPr>
        <w:t>1.2.1 本招标项目的资金来源：见投标人须知前附表。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1.2.2 本招标项目的出资比例：见投标人须知前附表。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1.2.3 本招标项目的资金落实情况：见投标人须知前附表。</w:t>
      </w:r>
    </w:p>
    <w:p>
      <w:pPr>
        <w:spacing w:line="360" w:lineRule="auto"/>
        <w:rPr>
          <w:rFonts w:ascii="宋体" w:hAnsi="宋体"/>
          <w:color w:val="auto"/>
          <w:highlight w:val="none"/>
        </w:rPr>
      </w:pPr>
      <w:r>
        <w:rPr>
          <w:rFonts w:hint="eastAsia" w:ascii="宋体" w:hAnsi="宋体"/>
          <w:color w:val="auto"/>
          <w:highlight w:val="none"/>
        </w:rPr>
        <w:t>1.3 招标范围、计划工期、质量和安全文明施工要求</w:t>
      </w:r>
    </w:p>
    <w:p>
      <w:pPr>
        <w:spacing w:line="360" w:lineRule="auto"/>
        <w:ind w:firstLine="480" w:firstLineChars="200"/>
        <w:rPr>
          <w:rFonts w:ascii="宋体" w:hAnsi="宋体"/>
          <w:color w:val="auto"/>
          <w:highlight w:val="none"/>
        </w:rPr>
      </w:pPr>
      <w:r>
        <w:rPr>
          <w:rFonts w:hint="eastAsia" w:ascii="宋体" w:hAnsi="宋体"/>
          <w:color w:val="auto"/>
          <w:highlight w:val="none"/>
        </w:rPr>
        <w:t>1.3.1 本次招标范围：见投标人须知前附表。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1.3.2 本标段的计划工期：见投标人须知前附表。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1.3.3 本标段的质量要求：见投标人须知前附表。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1.3.4本标段的安全文明施工要求：见投标人须知前附表。</w:t>
      </w:r>
    </w:p>
    <w:p>
      <w:pPr>
        <w:spacing w:line="360" w:lineRule="auto"/>
        <w:rPr>
          <w:rFonts w:ascii="宋体" w:hAnsi="宋体"/>
          <w:color w:val="auto"/>
          <w:highlight w:val="none"/>
        </w:rPr>
      </w:pPr>
      <w:r>
        <w:rPr>
          <w:rFonts w:hint="eastAsia" w:ascii="宋体" w:hAnsi="宋体"/>
          <w:color w:val="auto"/>
          <w:highlight w:val="none"/>
        </w:rPr>
        <w:t>1.4 投标人资格要求</w:t>
      </w:r>
    </w:p>
    <w:p>
      <w:pPr>
        <w:spacing w:line="360" w:lineRule="auto"/>
        <w:ind w:firstLine="480" w:firstLineChars="200"/>
        <w:rPr>
          <w:rFonts w:ascii="宋体" w:hAnsi="宋体"/>
          <w:color w:val="auto"/>
          <w:highlight w:val="none"/>
        </w:rPr>
      </w:pPr>
      <w:r>
        <w:rPr>
          <w:rFonts w:hint="eastAsia" w:ascii="宋体" w:hAnsi="宋体"/>
          <w:color w:val="auto"/>
          <w:highlight w:val="none"/>
        </w:rPr>
        <w:t>1.4.1 投标人应具备承担本标段施工的资格条件。</w:t>
      </w:r>
    </w:p>
    <w:p>
      <w:pPr>
        <w:spacing w:line="360" w:lineRule="auto"/>
        <w:ind w:firstLine="480" w:firstLineChars="200"/>
        <w:rPr>
          <w:rFonts w:ascii="宋体" w:hAnsi="宋体"/>
          <w:color w:val="auto"/>
          <w:highlight w:val="none"/>
        </w:rPr>
      </w:pPr>
      <w:r>
        <w:rPr>
          <w:rFonts w:hint="eastAsia" w:ascii="宋体" w:hAnsi="宋体"/>
          <w:color w:val="auto"/>
          <w:highlight w:val="none"/>
        </w:rPr>
        <w:t>(l）资质条件：见投标人须知前附表；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 xml:space="preserve"> (2）其他要求：见投标人须知前附表。</w:t>
      </w:r>
    </w:p>
    <w:p>
      <w:pPr>
        <w:spacing w:line="360" w:lineRule="auto"/>
        <w:ind w:firstLine="480" w:firstLineChars="200"/>
        <w:rPr>
          <w:rFonts w:ascii="宋体" w:hAnsi="宋体"/>
          <w:color w:val="auto"/>
          <w:highlight w:val="none"/>
        </w:rPr>
      </w:pPr>
      <w:r>
        <w:rPr>
          <w:rFonts w:hint="eastAsia" w:ascii="宋体" w:hAnsi="宋体"/>
          <w:color w:val="auto"/>
          <w:highlight w:val="none"/>
        </w:rPr>
        <w:t>1.4.2 投标人须知前附表规定接受联合体投标的，除应符合本章第1.4.1项和投标人须知前附表的要求外，还应遵守以下规定：</w:t>
      </w:r>
    </w:p>
    <w:p>
      <w:pPr>
        <w:spacing w:line="360" w:lineRule="auto"/>
        <w:ind w:firstLine="480" w:firstLineChars="200"/>
        <w:rPr>
          <w:rFonts w:ascii="宋体" w:hAnsi="宋体"/>
          <w:color w:val="auto"/>
          <w:highlight w:val="none"/>
        </w:rPr>
      </w:pPr>
      <w:r>
        <w:rPr>
          <w:rFonts w:hint="eastAsia" w:ascii="宋体" w:hAnsi="宋体"/>
          <w:color w:val="auto"/>
          <w:highlight w:val="none"/>
        </w:rPr>
        <w:t>(1）联合体各方应按招标文件提供的格式签订联合体协议书，明确联合体牵头人和各方权利义务；</w:t>
      </w:r>
    </w:p>
    <w:p>
      <w:pPr>
        <w:spacing w:line="360" w:lineRule="auto"/>
        <w:ind w:firstLine="480" w:firstLineChars="200"/>
        <w:rPr>
          <w:rFonts w:ascii="宋体" w:hAnsi="宋体"/>
          <w:color w:val="auto"/>
          <w:highlight w:val="none"/>
        </w:rPr>
      </w:pPr>
      <w:r>
        <w:rPr>
          <w:rFonts w:hint="eastAsia" w:ascii="宋体" w:hAnsi="宋体"/>
          <w:color w:val="auto"/>
          <w:highlight w:val="none"/>
        </w:rPr>
        <w:t>(2）由同一专业的单位组成的联合体，按照资质等级较低的单位确定资质等级；</w:t>
      </w:r>
    </w:p>
    <w:p>
      <w:pPr>
        <w:spacing w:line="360" w:lineRule="auto"/>
        <w:ind w:firstLine="480" w:firstLineChars="200"/>
        <w:rPr>
          <w:rFonts w:ascii="宋体" w:hAnsi="宋体"/>
          <w:color w:val="auto"/>
          <w:highlight w:val="none"/>
        </w:rPr>
      </w:pPr>
      <w:r>
        <w:rPr>
          <w:rFonts w:hint="eastAsia" w:ascii="宋体" w:hAnsi="宋体"/>
          <w:color w:val="auto"/>
          <w:highlight w:val="none"/>
        </w:rPr>
        <w:t>(3）联合体各方不得再以自己名义单独或参加其他联合体在同一标段中投标。</w:t>
      </w:r>
    </w:p>
    <w:p>
      <w:pPr>
        <w:spacing w:line="360" w:lineRule="auto"/>
        <w:ind w:firstLine="480" w:firstLineChars="200"/>
        <w:rPr>
          <w:rFonts w:ascii="宋体" w:hAnsi="宋体"/>
          <w:color w:val="auto"/>
          <w:highlight w:val="none"/>
        </w:rPr>
      </w:pPr>
      <w:r>
        <w:rPr>
          <w:rFonts w:hint="eastAsia" w:ascii="宋体" w:hAnsi="宋体"/>
          <w:color w:val="auto"/>
          <w:highlight w:val="none"/>
        </w:rPr>
        <w:t>1.4.3 投标人不得存在下列情形之一：</w:t>
      </w:r>
    </w:p>
    <w:p>
      <w:pPr>
        <w:spacing w:line="360" w:lineRule="auto"/>
        <w:ind w:firstLine="480" w:firstLineChars="200"/>
        <w:rPr>
          <w:rFonts w:ascii="宋体" w:hAnsi="宋体"/>
          <w:color w:val="auto"/>
          <w:highlight w:val="none"/>
        </w:rPr>
      </w:pPr>
      <w:r>
        <w:rPr>
          <w:rFonts w:hint="eastAsia" w:ascii="宋体" w:hAnsi="宋体"/>
          <w:color w:val="auto"/>
          <w:highlight w:val="none"/>
        </w:rPr>
        <w:t>(l）为招标人不具有独立法人资格的附属机构（单位）；</w:t>
      </w:r>
    </w:p>
    <w:p>
      <w:pPr>
        <w:spacing w:line="360" w:lineRule="auto"/>
        <w:ind w:firstLine="480" w:firstLineChars="200"/>
        <w:rPr>
          <w:rFonts w:ascii="宋体" w:hAnsi="宋体"/>
          <w:color w:val="auto"/>
          <w:highlight w:val="none"/>
        </w:rPr>
      </w:pPr>
      <w:r>
        <w:rPr>
          <w:rFonts w:hint="eastAsia" w:ascii="宋体" w:hAnsi="宋体"/>
          <w:color w:val="auto"/>
          <w:highlight w:val="none"/>
        </w:rPr>
        <w:t>(2）为本标段前期准备提供设计或咨询服务的；</w:t>
      </w:r>
    </w:p>
    <w:p>
      <w:pPr>
        <w:spacing w:line="360" w:lineRule="auto"/>
        <w:ind w:firstLine="480" w:firstLineChars="200"/>
        <w:rPr>
          <w:rFonts w:ascii="宋体" w:hAnsi="宋体"/>
          <w:color w:val="auto"/>
          <w:highlight w:val="none"/>
        </w:rPr>
      </w:pPr>
      <w:r>
        <w:rPr>
          <w:rFonts w:hint="eastAsia" w:ascii="宋体" w:hAnsi="宋体"/>
          <w:color w:val="auto"/>
          <w:highlight w:val="none"/>
        </w:rPr>
        <w:t>(3）为本标段的监理人；</w:t>
      </w:r>
    </w:p>
    <w:p>
      <w:pPr>
        <w:spacing w:line="360" w:lineRule="auto"/>
        <w:ind w:firstLine="480" w:firstLineChars="200"/>
        <w:rPr>
          <w:rFonts w:ascii="宋体" w:hAnsi="宋体"/>
          <w:color w:val="auto"/>
          <w:highlight w:val="none"/>
        </w:rPr>
      </w:pPr>
      <w:r>
        <w:rPr>
          <w:rFonts w:hint="eastAsia" w:ascii="宋体" w:hAnsi="宋体"/>
          <w:color w:val="auto"/>
          <w:highlight w:val="none"/>
        </w:rPr>
        <w:t>(4）为本标段的代建人；</w:t>
      </w:r>
    </w:p>
    <w:p>
      <w:pPr>
        <w:spacing w:line="360" w:lineRule="auto"/>
        <w:ind w:firstLine="480" w:firstLineChars="200"/>
        <w:rPr>
          <w:rFonts w:ascii="宋体" w:hAnsi="宋体"/>
          <w:color w:val="auto"/>
          <w:highlight w:val="none"/>
        </w:rPr>
      </w:pPr>
      <w:r>
        <w:rPr>
          <w:rFonts w:hint="eastAsia" w:ascii="宋体" w:hAnsi="宋体"/>
          <w:color w:val="auto"/>
          <w:highlight w:val="none"/>
        </w:rPr>
        <w:t>(5）为本标段提供招标代理服务的；</w:t>
      </w:r>
    </w:p>
    <w:p>
      <w:pPr>
        <w:spacing w:line="360" w:lineRule="auto"/>
        <w:ind w:firstLine="480" w:firstLineChars="200"/>
        <w:rPr>
          <w:rFonts w:ascii="宋体" w:hAnsi="宋体"/>
          <w:color w:val="auto"/>
          <w:highlight w:val="none"/>
        </w:rPr>
      </w:pPr>
      <w:r>
        <w:rPr>
          <w:rFonts w:hint="eastAsia" w:ascii="宋体" w:hAnsi="宋体"/>
          <w:color w:val="auto"/>
          <w:highlight w:val="none"/>
        </w:rPr>
        <w:t>(6）与本标段的监理人或代建人或招标代理机构同为一个法定代表人的；</w:t>
      </w:r>
    </w:p>
    <w:p>
      <w:pPr>
        <w:spacing w:line="360" w:lineRule="auto"/>
        <w:ind w:firstLine="480" w:firstLineChars="200"/>
        <w:rPr>
          <w:rFonts w:ascii="宋体" w:hAnsi="宋体"/>
          <w:color w:val="auto"/>
          <w:highlight w:val="none"/>
        </w:rPr>
      </w:pPr>
      <w:r>
        <w:rPr>
          <w:rFonts w:hint="eastAsia" w:ascii="宋体" w:hAnsi="宋体"/>
          <w:color w:val="auto"/>
          <w:highlight w:val="none"/>
        </w:rPr>
        <w:t>(7）与本标段的监理人或代建人或招标代理机构相互控股或参股的；</w:t>
      </w:r>
    </w:p>
    <w:p>
      <w:pPr>
        <w:spacing w:line="360" w:lineRule="auto"/>
        <w:ind w:firstLine="480" w:firstLineChars="200"/>
        <w:rPr>
          <w:rFonts w:ascii="宋体" w:hAnsi="宋体"/>
          <w:color w:val="auto"/>
          <w:highlight w:val="none"/>
        </w:rPr>
      </w:pPr>
      <w:r>
        <w:rPr>
          <w:rFonts w:hint="eastAsia" w:ascii="宋体" w:hAnsi="宋体"/>
          <w:color w:val="auto"/>
          <w:highlight w:val="none"/>
        </w:rPr>
        <w:t>(8）与本标段的监理人或代建人或招标代理机构相互任职或工作的；</w:t>
      </w:r>
    </w:p>
    <w:p>
      <w:pPr>
        <w:spacing w:line="360" w:lineRule="auto"/>
        <w:ind w:left="480" w:leftChars="200"/>
        <w:rPr>
          <w:rFonts w:ascii="宋体" w:hAnsi="宋体"/>
          <w:color w:val="auto"/>
          <w:highlight w:val="none"/>
        </w:rPr>
      </w:pPr>
      <w:r>
        <w:rPr>
          <w:rFonts w:hint="eastAsia" w:ascii="宋体" w:hAnsi="宋体"/>
          <w:color w:val="auto"/>
          <w:highlight w:val="none"/>
        </w:rPr>
        <w:t>(9）单位负责人与其他投标人为同一人或者存在控股、管理关系的；</w:t>
      </w:r>
      <w:r>
        <w:rPr>
          <w:rFonts w:hint="eastAsia" w:ascii="宋体" w:hAnsi="宋体"/>
          <w:color w:val="auto"/>
          <w:highlight w:val="none"/>
        </w:rPr>
        <w:br w:type="textWrapping"/>
      </w:r>
      <w:r>
        <w:rPr>
          <w:rFonts w:hint="eastAsia" w:ascii="宋体" w:hAnsi="宋体"/>
          <w:color w:val="auto"/>
          <w:highlight w:val="none"/>
        </w:rPr>
        <w:t>(10）处于被责令停业期内的；</w:t>
      </w:r>
    </w:p>
    <w:p>
      <w:pPr>
        <w:spacing w:line="360" w:lineRule="auto"/>
        <w:ind w:firstLine="480" w:firstLineChars="200"/>
        <w:rPr>
          <w:rFonts w:ascii="宋体" w:hAnsi="宋体"/>
          <w:color w:val="auto"/>
          <w:highlight w:val="none"/>
        </w:rPr>
      </w:pPr>
      <w:r>
        <w:rPr>
          <w:rFonts w:hint="eastAsia" w:ascii="宋体" w:hAnsi="宋体"/>
          <w:color w:val="auto"/>
          <w:highlight w:val="none"/>
        </w:rPr>
        <w:t>(11）处于被暂停或取消投标资格期内的；</w:t>
      </w:r>
    </w:p>
    <w:p>
      <w:pPr>
        <w:spacing w:line="360" w:lineRule="auto"/>
        <w:ind w:firstLine="480" w:firstLineChars="200"/>
        <w:rPr>
          <w:rFonts w:ascii="宋体" w:hAnsi="宋体"/>
          <w:color w:val="auto"/>
          <w:highlight w:val="none"/>
        </w:rPr>
      </w:pPr>
      <w:r>
        <w:rPr>
          <w:rFonts w:hint="eastAsia" w:ascii="宋体" w:hAnsi="宋体"/>
          <w:color w:val="auto"/>
          <w:highlight w:val="none"/>
        </w:rPr>
        <w:t>(12）处于财产被接管或冻结期内的。</w:t>
      </w:r>
    </w:p>
    <w:p>
      <w:pPr>
        <w:spacing w:line="360" w:lineRule="auto"/>
        <w:rPr>
          <w:rFonts w:ascii="宋体" w:hAnsi="宋体"/>
          <w:color w:val="auto"/>
          <w:highlight w:val="none"/>
        </w:rPr>
      </w:pPr>
      <w:r>
        <w:rPr>
          <w:rFonts w:hint="eastAsia" w:ascii="宋体" w:hAnsi="宋体"/>
          <w:color w:val="auto"/>
          <w:highlight w:val="none"/>
        </w:rPr>
        <w:t>1.5 费用承担</w:t>
      </w:r>
    </w:p>
    <w:p>
      <w:pPr>
        <w:spacing w:line="360" w:lineRule="auto"/>
        <w:ind w:firstLine="480" w:firstLineChars="200"/>
        <w:rPr>
          <w:rFonts w:ascii="宋体" w:hAnsi="宋体"/>
          <w:color w:val="auto"/>
          <w:highlight w:val="none"/>
        </w:rPr>
      </w:pPr>
      <w:r>
        <w:rPr>
          <w:rFonts w:hint="eastAsia" w:ascii="宋体" w:hAnsi="宋体"/>
          <w:color w:val="auto"/>
          <w:highlight w:val="none"/>
        </w:rPr>
        <w:t>投标人准备和参加投标活动发生的费用自理。</w:t>
      </w:r>
    </w:p>
    <w:p>
      <w:pPr>
        <w:spacing w:line="360" w:lineRule="auto"/>
        <w:rPr>
          <w:rFonts w:ascii="宋体" w:hAnsi="宋体"/>
          <w:color w:val="auto"/>
          <w:highlight w:val="none"/>
        </w:rPr>
      </w:pPr>
      <w:r>
        <w:rPr>
          <w:rFonts w:hint="eastAsia" w:ascii="宋体" w:hAnsi="宋体"/>
          <w:color w:val="auto"/>
          <w:highlight w:val="none"/>
        </w:rPr>
        <w:t>1.6 保密</w:t>
      </w:r>
    </w:p>
    <w:p>
      <w:pPr>
        <w:spacing w:line="360" w:lineRule="auto"/>
        <w:ind w:firstLine="480" w:firstLineChars="200"/>
        <w:rPr>
          <w:rFonts w:ascii="宋体" w:hAnsi="宋体"/>
          <w:color w:val="auto"/>
          <w:highlight w:val="none"/>
        </w:rPr>
      </w:pPr>
      <w:r>
        <w:rPr>
          <w:rFonts w:hint="eastAsia" w:ascii="宋体" w:hAnsi="宋体"/>
          <w:color w:val="auto"/>
          <w:highlight w:val="none"/>
        </w:rPr>
        <w:t>参与招标投标活动的各方应对招标文件和投标文件中的商业和技术等秘密保密，违者应对由此造成的后果承担法律责任。</w:t>
      </w:r>
    </w:p>
    <w:p>
      <w:pPr>
        <w:spacing w:line="360" w:lineRule="auto"/>
        <w:rPr>
          <w:rFonts w:ascii="宋体" w:hAnsi="宋体"/>
          <w:color w:val="auto"/>
          <w:highlight w:val="none"/>
        </w:rPr>
      </w:pPr>
      <w:r>
        <w:rPr>
          <w:rFonts w:hint="eastAsia" w:ascii="宋体" w:hAnsi="宋体"/>
          <w:color w:val="auto"/>
          <w:highlight w:val="none"/>
        </w:rPr>
        <w:t>1.7 语言文字</w:t>
      </w:r>
    </w:p>
    <w:p>
      <w:pPr>
        <w:spacing w:line="360" w:lineRule="auto"/>
        <w:ind w:firstLine="480" w:firstLineChars="200"/>
        <w:rPr>
          <w:rFonts w:ascii="宋体" w:hAnsi="宋体"/>
          <w:color w:val="auto"/>
          <w:highlight w:val="none"/>
        </w:rPr>
      </w:pPr>
      <w:r>
        <w:rPr>
          <w:rFonts w:hint="eastAsia" w:ascii="宋体" w:hAnsi="宋体"/>
          <w:color w:val="auto"/>
          <w:highlight w:val="none"/>
        </w:rPr>
        <w:t>除专用术语外，与招标投标有关的语言均使用中文。必要时专用术语应附有中文注释。</w:t>
      </w:r>
    </w:p>
    <w:p>
      <w:pPr>
        <w:spacing w:line="360" w:lineRule="auto"/>
        <w:rPr>
          <w:rFonts w:ascii="宋体" w:hAnsi="宋体"/>
          <w:color w:val="auto"/>
          <w:highlight w:val="none"/>
        </w:rPr>
      </w:pPr>
      <w:r>
        <w:rPr>
          <w:rFonts w:hint="eastAsia" w:ascii="宋体" w:hAnsi="宋体"/>
          <w:color w:val="auto"/>
          <w:highlight w:val="none"/>
        </w:rPr>
        <w:t>1.8 计量单位</w:t>
      </w:r>
    </w:p>
    <w:p>
      <w:pPr>
        <w:spacing w:line="360" w:lineRule="auto"/>
        <w:ind w:firstLine="480" w:firstLineChars="200"/>
        <w:rPr>
          <w:rFonts w:ascii="宋体" w:hAnsi="宋体"/>
          <w:color w:val="auto"/>
          <w:highlight w:val="none"/>
        </w:rPr>
      </w:pPr>
      <w:r>
        <w:rPr>
          <w:rFonts w:hint="eastAsia" w:ascii="宋体" w:hAnsi="宋体"/>
          <w:color w:val="auto"/>
          <w:highlight w:val="none"/>
        </w:rPr>
        <w:t>所有计量均采用中华人民共和国法定计量单位。</w:t>
      </w:r>
    </w:p>
    <w:p>
      <w:pPr>
        <w:spacing w:line="360" w:lineRule="auto"/>
        <w:rPr>
          <w:rFonts w:ascii="宋体" w:hAnsi="宋体"/>
          <w:color w:val="auto"/>
          <w:highlight w:val="none"/>
        </w:rPr>
      </w:pPr>
      <w:r>
        <w:rPr>
          <w:rFonts w:hint="eastAsia" w:ascii="宋体" w:hAnsi="宋体"/>
          <w:color w:val="auto"/>
          <w:highlight w:val="none"/>
        </w:rPr>
        <w:t>1.9踏勘现场</w:t>
      </w:r>
    </w:p>
    <w:p>
      <w:pPr>
        <w:spacing w:line="360" w:lineRule="auto"/>
        <w:ind w:firstLine="480" w:firstLineChars="200"/>
        <w:rPr>
          <w:rFonts w:ascii="宋体" w:hAnsi="宋体"/>
          <w:color w:val="auto"/>
          <w:highlight w:val="none"/>
        </w:rPr>
      </w:pPr>
      <w:r>
        <w:rPr>
          <w:rFonts w:hint="eastAsia" w:ascii="宋体" w:hAnsi="宋体"/>
          <w:color w:val="auto"/>
          <w:highlight w:val="none"/>
        </w:rPr>
        <w:t>1.9.1 一般情况下不集中踏勘现场，投标人须知前附表规定组织踏勘现场的，投标人按投标人须知前附表规定的时间、地点自行踏勘项目现场。</w:t>
      </w:r>
    </w:p>
    <w:p>
      <w:pPr>
        <w:spacing w:line="360" w:lineRule="auto"/>
        <w:ind w:firstLine="480" w:firstLineChars="200"/>
        <w:rPr>
          <w:rFonts w:ascii="宋体" w:hAnsi="宋体"/>
          <w:color w:val="auto"/>
          <w:highlight w:val="none"/>
        </w:rPr>
      </w:pPr>
      <w:r>
        <w:rPr>
          <w:rFonts w:hint="eastAsia" w:ascii="宋体" w:hAnsi="宋体"/>
          <w:color w:val="auto"/>
          <w:highlight w:val="none"/>
        </w:rPr>
        <w:t>1.9.2 投标人踏勘现场发生的费用自理。</w:t>
      </w:r>
    </w:p>
    <w:p>
      <w:pPr>
        <w:spacing w:line="360" w:lineRule="auto"/>
        <w:ind w:firstLine="480" w:firstLineChars="200"/>
        <w:rPr>
          <w:rFonts w:ascii="宋体" w:hAnsi="宋体"/>
          <w:color w:val="auto"/>
          <w:highlight w:val="none"/>
        </w:rPr>
      </w:pPr>
      <w:r>
        <w:rPr>
          <w:rFonts w:hint="eastAsia" w:ascii="宋体" w:hAnsi="宋体"/>
          <w:color w:val="auto"/>
          <w:highlight w:val="none"/>
        </w:rPr>
        <w:t>1.9.3 除招标人的原因外，投标人自行负责在踏勘现场中所发生的人员伤亡和财产损失。</w:t>
      </w:r>
    </w:p>
    <w:p>
      <w:pPr>
        <w:spacing w:line="360" w:lineRule="auto"/>
        <w:ind w:firstLine="480" w:firstLineChars="200"/>
        <w:rPr>
          <w:rFonts w:ascii="宋体" w:hAnsi="宋体"/>
          <w:color w:val="auto"/>
          <w:highlight w:val="none"/>
        </w:rPr>
      </w:pPr>
      <w:r>
        <w:rPr>
          <w:rFonts w:hint="eastAsia" w:ascii="宋体" w:hAnsi="宋体"/>
          <w:color w:val="auto"/>
          <w:highlight w:val="none"/>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color w:val="auto"/>
          <w:highlight w:val="none"/>
        </w:rPr>
      </w:pPr>
      <w:r>
        <w:rPr>
          <w:rFonts w:hint="eastAsia" w:ascii="宋体" w:hAnsi="宋体"/>
          <w:color w:val="auto"/>
          <w:highlight w:val="none"/>
        </w:rPr>
        <w:t>1.10 招标答疑</w:t>
      </w:r>
    </w:p>
    <w:p>
      <w:pPr>
        <w:spacing w:line="360" w:lineRule="auto"/>
        <w:ind w:firstLine="360" w:firstLineChars="150"/>
        <w:rPr>
          <w:rFonts w:ascii="宋体" w:hAnsi="宋体"/>
          <w:color w:val="auto"/>
          <w:highlight w:val="none"/>
        </w:rPr>
      </w:pPr>
      <w:r>
        <w:rPr>
          <w:rFonts w:hint="eastAsia" w:ascii="宋体" w:hAnsi="宋体"/>
          <w:color w:val="auto"/>
          <w:highlight w:val="none"/>
        </w:rPr>
        <w:t>见投标人须知前附表。</w:t>
      </w:r>
    </w:p>
    <w:p>
      <w:pPr>
        <w:spacing w:line="360" w:lineRule="auto"/>
        <w:rPr>
          <w:rFonts w:ascii="宋体" w:hAnsi="宋体"/>
          <w:color w:val="auto"/>
          <w:highlight w:val="none"/>
        </w:rPr>
      </w:pPr>
      <w:r>
        <w:rPr>
          <w:rFonts w:hint="eastAsia" w:ascii="宋体" w:hAnsi="宋体"/>
          <w:color w:val="auto"/>
          <w:highlight w:val="none"/>
        </w:rPr>
        <w:t>1.11 分包</w:t>
      </w:r>
    </w:p>
    <w:p>
      <w:pPr>
        <w:spacing w:line="360" w:lineRule="auto"/>
        <w:rPr>
          <w:rFonts w:ascii="宋体" w:hAnsi="宋体"/>
          <w:color w:val="auto"/>
          <w:highlight w:val="none"/>
        </w:rPr>
      </w:pPr>
      <w:r>
        <w:rPr>
          <w:rFonts w:hint="eastAsia" w:ascii="宋体" w:hAnsi="宋体"/>
          <w:color w:val="auto"/>
          <w:highlight w:val="none"/>
        </w:rPr>
        <w:t>本项目不允许分包。</w:t>
      </w:r>
    </w:p>
    <w:p>
      <w:pPr>
        <w:spacing w:line="360" w:lineRule="auto"/>
        <w:rPr>
          <w:rFonts w:ascii="宋体" w:hAnsi="宋体"/>
          <w:color w:val="auto"/>
          <w:highlight w:val="none"/>
        </w:rPr>
      </w:pPr>
      <w:r>
        <w:rPr>
          <w:rFonts w:hint="eastAsia" w:ascii="宋体" w:hAnsi="宋体"/>
          <w:color w:val="auto"/>
          <w:highlight w:val="none"/>
        </w:rPr>
        <w:t>1.12 偏离</w:t>
      </w:r>
    </w:p>
    <w:p>
      <w:pPr>
        <w:spacing w:line="360" w:lineRule="auto"/>
        <w:rPr>
          <w:rFonts w:ascii="宋体" w:hAnsi="宋体"/>
          <w:color w:val="auto"/>
          <w:highlight w:val="none"/>
        </w:rPr>
      </w:pPr>
      <w:r>
        <w:rPr>
          <w:rFonts w:hint="eastAsia" w:ascii="宋体" w:hAnsi="宋体"/>
          <w:color w:val="auto"/>
          <w:highlight w:val="none"/>
        </w:rPr>
        <w:t>本项目不允许偏离。</w:t>
      </w:r>
    </w:p>
    <w:p>
      <w:pPr>
        <w:spacing w:line="360" w:lineRule="auto"/>
        <w:rPr>
          <w:rFonts w:ascii="宋体" w:hAnsi="宋体"/>
          <w:color w:val="auto"/>
          <w:highlight w:val="none"/>
        </w:rPr>
      </w:pPr>
      <w:bookmarkStart w:id="20" w:name="_Toc184635072"/>
      <w:bookmarkStart w:id="21" w:name="_Toc45126829"/>
      <w:r>
        <w:rPr>
          <w:rFonts w:hint="eastAsia" w:ascii="宋体" w:hAnsi="宋体"/>
          <w:color w:val="auto"/>
          <w:highlight w:val="none"/>
        </w:rPr>
        <w:t>2．招标文件</w:t>
      </w:r>
      <w:bookmarkEnd w:id="20"/>
      <w:bookmarkEnd w:id="21"/>
    </w:p>
    <w:p>
      <w:pPr>
        <w:spacing w:line="360" w:lineRule="auto"/>
        <w:rPr>
          <w:rFonts w:ascii="宋体" w:hAnsi="宋体"/>
          <w:color w:val="auto"/>
          <w:highlight w:val="none"/>
        </w:rPr>
      </w:pPr>
      <w:r>
        <w:rPr>
          <w:rFonts w:hint="eastAsia" w:ascii="宋体" w:hAnsi="宋体"/>
          <w:color w:val="auto"/>
          <w:highlight w:val="none"/>
        </w:rPr>
        <w:t>2.1 招标文件的组成</w:t>
      </w:r>
    </w:p>
    <w:p>
      <w:pPr>
        <w:spacing w:line="360" w:lineRule="auto"/>
        <w:rPr>
          <w:rFonts w:ascii="宋体" w:hAnsi="宋体"/>
          <w:color w:val="auto"/>
          <w:highlight w:val="none"/>
        </w:rPr>
      </w:pPr>
      <w:r>
        <w:rPr>
          <w:rFonts w:hint="eastAsia" w:ascii="宋体" w:hAnsi="宋体"/>
          <w:color w:val="auto"/>
          <w:highlight w:val="none"/>
        </w:rPr>
        <w:t>本招标文件包括：</w:t>
      </w:r>
    </w:p>
    <w:p>
      <w:pPr>
        <w:spacing w:line="360" w:lineRule="auto"/>
        <w:rPr>
          <w:rFonts w:ascii="宋体" w:hAnsi="宋体"/>
          <w:color w:val="auto"/>
          <w:highlight w:val="none"/>
        </w:rPr>
      </w:pPr>
      <w:r>
        <w:rPr>
          <w:rFonts w:hint="eastAsia" w:ascii="宋体" w:hAnsi="宋体"/>
          <w:color w:val="auto"/>
          <w:highlight w:val="none"/>
        </w:rPr>
        <w:t xml:space="preserve">(1）邀请招标公告； </w:t>
      </w:r>
    </w:p>
    <w:p>
      <w:pPr>
        <w:spacing w:line="360" w:lineRule="auto"/>
        <w:rPr>
          <w:rFonts w:ascii="宋体" w:hAnsi="宋体"/>
          <w:color w:val="auto"/>
          <w:highlight w:val="none"/>
        </w:rPr>
      </w:pPr>
      <w:r>
        <w:rPr>
          <w:rFonts w:hint="eastAsia" w:ascii="宋体" w:hAnsi="宋体"/>
          <w:color w:val="auto"/>
          <w:highlight w:val="none"/>
        </w:rPr>
        <w:t>(2）投标人须知；</w:t>
      </w:r>
    </w:p>
    <w:p>
      <w:pPr>
        <w:spacing w:line="360" w:lineRule="auto"/>
        <w:rPr>
          <w:rFonts w:ascii="宋体" w:hAnsi="宋体"/>
          <w:color w:val="auto"/>
          <w:highlight w:val="none"/>
        </w:rPr>
      </w:pPr>
      <w:r>
        <w:rPr>
          <w:rFonts w:hint="eastAsia" w:ascii="宋体" w:hAnsi="宋体"/>
          <w:color w:val="auto"/>
          <w:highlight w:val="none"/>
        </w:rPr>
        <w:t>(3）评标办法；</w:t>
      </w:r>
    </w:p>
    <w:p>
      <w:pPr>
        <w:spacing w:line="360" w:lineRule="auto"/>
        <w:rPr>
          <w:rFonts w:ascii="宋体" w:hAnsi="宋体"/>
          <w:color w:val="auto"/>
          <w:highlight w:val="none"/>
        </w:rPr>
      </w:pPr>
      <w:r>
        <w:rPr>
          <w:rFonts w:hint="eastAsia" w:ascii="宋体" w:hAnsi="宋体"/>
          <w:color w:val="auto"/>
          <w:highlight w:val="none"/>
        </w:rPr>
        <w:t>(4）合同条款及格式；</w:t>
      </w:r>
    </w:p>
    <w:p>
      <w:pPr>
        <w:spacing w:line="360" w:lineRule="auto"/>
        <w:rPr>
          <w:rFonts w:ascii="宋体" w:hAnsi="宋体"/>
          <w:color w:val="auto"/>
          <w:highlight w:val="none"/>
        </w:rPr>
      </w:pPr>
      <w:r>
        <w:rPr>
          <w:rFonts w:hint="eastAsia" w:ascii="宋体" w:hAnsi="宋体"/>
          <w:color w:val="auto"/>
          <w:highlight w:val="none"/>
        </w:rPr>
        <w:t>(5）工程量清单</w:t>
      </w:r>
    </w:p>
    <w:p>
      <w:pPr>
        <w:spacing w:line="360" w:lineRule="auto"/>
        <w:ind w:firstLine="480" w:firstLineChars="200"/>
        <w:rPr>
          <w:rFonts w:ascii="宋体" w:hAnsi="宋体"/>
          <w:color w:val="auto"/>
          <w:highlight w:val="none"/>
        </w:rPr>
      </w:pPr>
      <w:r>
        <w:rPr>
          <w:rFonts w:hint="eastAsia" w:ascii="宋体" w:hAnsi="宋体"/>
          <w:color w:val="auto"/>
          <w:highlight w:val="none"/>
        </w:rPr>
        <w:t>按第五章“工程量清单及工程量清单计价”的有关要求编制的工程量清单及招标控制价（或不限于招标控制价总价、招标控制价中的分部分项工程量清单计价合计、措施项目清单计价合计、其他项目清单计价合计、税金和规费合计以及投标控制价的上限</w:t>
      </w:r>
      <w:r>
        <w:rPr>
          <w:rFonts w:hint="eastAsia" w:ascii="宋体" w:hAnsi="宋体"/>
          <w:color w:val="auto"/>
          <w:szCs w:val="21"/>
          <w:highlight w:val="none"/>
        </w:rPr>
        <w:t>价</w:t>
      </w:r>
      <w:r>
        <w:rPr>
          <w:rFonts w:hint="eastAsia"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(6）图纸（另附）；</w:t>
      </w:r>
    </w:p>
    <w:p>
      <w:pPr>
        <w:spacing w:line="360" w:lineRule="auto"/>
        <w:rPr>
          <w:rFonts w:ascii="宋体" w:hAnsi="宋体"/>
          <w:color w:val="auto"/>
          <w:highlight w:val="none"/>
        </w:rPr>
      </w:pPr>
      <w:r>
        <w:rPr>
          <w:rFonts w:hint="eastAsia" w:ascii="宋体" w:hAnsi="宋体"/>
          <w:color w:val="auto"/>
          <w:highlight w:val="none"/>
        </w:rPr>
        <w:t>(7）投标文件格式；</w:t>
      </w:r>
    </w:p>
    <w:p>
      <w:pPr>
        <w:spacing w:line="360" w:lineRule="auto"/>
        <w:rPr>
          <w:rFonts w:ascii="宋体" w:hAnsi="宋体"/>
          <w:color w:val="auto"/>
          <w:highlight w:val="none"/>
        </w:rPr>
      </w:pPr>
      <w:r>
        <w:rPr>
          <w:rFonts w:hint="eastAsia" w:ascii="宋体" w:hAnsi="宋体"/>
          <w:color w:val="auto"/>
          <w:highlight w:val="none"/>
        </w:rPr>
        <w:t>(8）投标人须知前附表规定的其他材料。</w:t>
      </w:r>
    </w:p>
    <w:p>
      <w:pPr>
        <w:spacing w:line="360" w:lineRule="auto"/>
        <w:rPr>
          <w:rFonts w:ascii="宋体" w:hAnsi="宋体"/>
          <w:color w:val="auto"/>
          <w:highlight w:val="none"/>
        </w:rPr>
      </w:pPr>
      <w:r>
        <w:rPr>
          <w:rFonts w:hint="eastAsia" w:ascii="宋体" w:hAnsi="宋体"/>
          <w:color w:val="auto"/>
          <w:highlight w:val="none"/>
        </w:rPr>
        <w:t>(9）需要补充的其他内容:</w:t>
      </w:r>
    </w:p>
    <w:p>
      <w:pPr>
        <w:spacing w:line="360" w:lineRule="auto"/>
        <w:ind w:firstLine="480" w:firstLineChars="200"/>
        <w:rPr>
          <w:rFonts w:ascii="宋体" w:hAnsi="宋体"/>
          <w:color w:val="auto"/>
          <w:highlight w:val="none"/>
        </w:rPr>
      </w:pPr>
      <w:r>
        <w:rPr>
          <w:rFonts w:hint="eastAsia" w:ascii="宋体" w:hAnsi="宋体"/>
          <w:color w:val="auto"/>
          <w:highlight w:val="none"/>
        </w:rPr>
        <w:t>否决性条款、投标控制价上限</w:t>
      </w:r>
      <w:r>
        <w:rPr>
          <w:rFonts w:hint="eastAsia" w:ascii="宋体" w:hAnsi="宋体"/>
          <w:color w:val="auto"/>
          <w:szCs w:val="21"/>
          <w:highlight w:val="none"/>
        </w:rPr>
        <w:t>价</w:t>
      </w:r>
      <w:r>
        <w:rPr>
          <w:rFonts w:hint="eastAsia" w:ascii="宋体" w:hAnsi="宋体"/>
          <w:color w:val="auto"/>
          <w:highlight w:val="none"/>
        </w:rPr>
        <w:t>、</w:t>
      </w:r>
      <w:r>
        <w:rPr>
          <w:rFonts w:hint="eastAsia" w:ascii="宋体" w:hAnsi="宋体"/>
          <w:color w:val="auto"/>
          <w:szCs w:val="21"/>
          <w:highlight w:val="none"/>
        </w:rPr>
        <w:t>绿色施工安全防护措施费</w:t>
      </w:r>
      <w:r>
        <w:rPr>
          <w:rFonts w:hint="eastAsia" w:ascii="宋体" w:hAnsi="宋体"/>
          <w:color w:val="auto"/>
          <w:highlight w:val="none"/>
        </w:rPr>
        <w:t>。</w:t>
      </w:r>
    </w:p>
    <w:p>
      <w:pPr>
        <w:spacing w:line="360" w:lineRule="auto"/>
        <w:ind w:firstLine="480" w:firstLineChars="200"/>
        <w:rPr>
          <w:rFonts w:ascii="宋体" w:hAnsi="宋体"/>
          <w:color w:val="auto"/>
          <w:highlight w:val="none"/>
        </w:rPr>
      </w:pPr>
      <w:r>
        <w:rPr>
          <w:rFonts w:hint="eastAsia" w:ascii="宋体" w:hAnsi="宋体"/>
          <w:color w:val="auto"/>
          <w:highlight w:val="none"/>
        </w:rPr>
        <w:t>根据本章第1.10 款、第2.2 款和第2.3 款对招标文件所作的澄清、修改，构成招标文件的组成部分。</w:t>
      </w:r>
    </w:p>
    <w:p>
      <w:pPr>
        <w:spacing w:line="360" w:lineRule="auto"/>
        <w:rPr>
          <w:rFonts w:ascii="宋体" w:hAnsi="宋体"/>
          <w:color w:val="auto"/>
          <w:highlight w:val="none"/>
        </w:rPr>
      </w:pPr>
      <w:r>
        <w:rPr>
          <w:rFonts w:hint="eastAsia" w:ascii="宋体" w:hAnsi="宋体"/>
          <w:color w:val="auto"/>
          <w:highlight w:val="none"/>
        </w:rPr>
        <w:t>2.2 招标文件的澄清</w:t>
      </w:r>
    </w:p>
    <w:p>
      <w:pPr>
        <w:spacing w:line="360" w:lineRule="auto"/>
        <w:rPr>
          <w:rFonts w:ascii="宋体" w:hAnsi="宋体"/>
          <w:color w:val="auto"/>
          <w:highlight w:val="none"/>
        </w:rPr>
      </w:pPr>
      <w:r>
        <w:rPr>
          <w:rFonts w:hint="eastAsia" w:ascii="宋体" w:hAnsi="宋体"/>
          <w:color w:val="auto"/>
          <w:highlight w:val="none"/>
        </w:rPr>
        <w:t>2.2.1投标人应仔细阅读和检查招标文件的全部内容。如发现缺页或附件不全，应及时向招标人提出，以便补齐。如有疑问，应以邮件或书面形式要求招标人对招标文件予以澄清。</w:t>
      </w:r>
    </w:p>
    <w:p>
      <w:pPr>
        <w:spacing w:line="360" w:lineRule="auto"/>
        <w:rPr>
          <w:rFonts w:ascii="宋体" w:hAnsi="宋体"/>
          <w:color w:val="auto"/>
          <w:highlight w:val="none"/>
        </w:rPr>
      </w:pPr>
      <w:r>
        <w:rPr>
          <w:rFonts w:hint="eastAsia" w:ascii="宋体" w:hAnsi="宋体"/>
          <w:color w:val="auto"/>
          <w:highlight w:val="none"/>
        </w:rPr>
        <w:t>2.2.2 招标文件的澄清的内容可能影响投标文件编制的，将在投标人须知前附表规定的投标截止时间15天前在发给所有投标人，但不指明澄清问题的来源。</w:t>
      </w:r>
    </w:p>
    <w:p>
      <w:pPr>
        <w:spacing w:line="360" w:lineRule="auto"/>
        <w:rPr>
          <w:rFonts w:ascii="宋体" w:hAnsi="宋体"/>
          <w:color w:val="auto"/>
          <w:highlight w:val="none"/>
        </w:rPr>
      </w:pPr>
      <w:r>
        <w:rPr>
          <w:rFonts w:hint="eastAsia" w:ascii="宋体" w:hAnsi="宋体"/>
          <w:color w:val="auto"/>
          <w:highlight w:val="none"/>
        </w:rPr>
        <w:t>2.2.3投标人因自身原因未能获取答疑资料造成的后果，由投标人自行承担。</w:t>
      </w:r>
    </w:p>
    <w:p>
      <w:pPr>
        <w:spacing w:line="360" w:lineRule="auto"/>
        <w:rPr>
          <w:rFonts w:ascii="宋体" w:hAnsi="宋体"/>
          <w:color w:val="auto"/>
          <w:highlight w:val="none"/>
        </w:rPr>
      </w:pPr>
      <w:r>
        <w:rPr>
          <w:rFonts w:hint="eastAsia" w:ascii="宋体" w:hAnsi="宋体"/>
          <w:color w:val="auto"/>
          <w:highlight w:val="none"/>
        </w:rPr>
        <w:t>2.3 招标文件的修改</w:t>
      </w:r>
    </w:p>
    <w:p>
      <w:pPr>
        <w:spacing w:line="360" w:lineRule="auto"/>
        <w:rPr>
          <w:rFonts w:ascii="宋体" w:hAnsi="宋体"/>
          <w:color w:val="auto"/>
          <w:highlight w:val="none"/>
        </w:rPr>
      </w:pPr>
      <w:r>
        <w:rPr>
          <w:rFonts w:hint="eastAsia" w:ascii="宋体" w:hAnsi="宋体"/>
          <w:color w:val="auto"/>
          <w:highlight w:val="none"/>
        </w:rPr>
        <w:t>2.3.1 投标人因自身原因未能获取答疑资料造成的后果，由投标人自行承担。</w:t>
      </w:r>
    </w:p>
    <w:p>
      <w:pPr>
        <w:spacing w:line="360" w:lineRule="auto"/>
        <w:rPr>
          <w:rFonts w:ascii="宋体" w:hAnsi="宋体"/>
          <w:b/>
          <w:color w:val="auto"/>
          <w:highlight w:val="none"/>
        </w:rPr>
      </w:pPr>
      <w:bookmarkStart w:id="22" w:name="_Toc184635073"/>
      <w:bookmarkStart w:id="23" w:name="_Toc45126830"/>
      <w:r>
        <w:rPr>
          <w:rFonts w:hint="eastAsia" w:ascii="宋体" w:hAnsi="宋体"/>
          <w:b/>
          <w:color w:val="auto"/>
          <w:highlight w:val="none"/>
        </w:rPr>
        <w:t>3．投标文件</w:t>
      </w:r>
      <w:bookmarkEnd w:id="22"/>
      <w:bookmarkEnd w:id="23"/>
    </w:p>
    <w:p>
      <w:pPr>
        <w:spacing w:line="360" w:lineRule="auto"/>
        <w:rPr>
          <w:rFonts w:ascii="宋体" w:hAnsi="宋体"/>
          <w:b/>
          <w:color w:val="auto"/>
          <w:highlight w:val="none"/>
        </w:rPr>
      </w:pPr>
      <w:r>
        <w:rPr>
          <w:rFonts w:hint="eastAsia" w:ascii="宋体" w:hAnsi="宋体"/>
          <w:b/>
          <w:color w:val="auto"/>
          <w:highlight w:val="none"/>
        </w:rPr>
        <w:t>3.1 投标文件的组成及编制</w:t>
      </w:r>
    </w:p>
    <w:p>
      <w:pPr>
        <w:widowControl w:val="0"/>
        <w:tabs>
          <w:tab w:val="left" w:pos="0"/>
        </w:tabs>
        <w:spacing w:line="360" w:lineRule="auto"/>
        <w:rPr>
          <w:rFonts w:ascii="宋体" w:hAnsi="宋体"/>
          <w:color w:val="auto"/>
          <w:highlight w:val="none"/>
        </w:rPr>
      </w:pPr>
      <w:r>
        <w:rPr>
          <w:rFonts w:hint="eastAsia" w:ascii="宋体" w:hAnsi="宋体"/>
          <w:b/>
          <w:color w:val="auto"/>
          <w:highlight w:val="none"/>
        </w:rPr>
        <w:t>3.1.1投标文件</w:t>
      </w:r>
    </w:p>
    <w:p>
      <w:pPr>
        <w:widowControl w:val="0"/>
        <w:numPr>
          <w:ilvl w:val="0"/>
          <w:numId w:val="3"/>
        </w:numPr>
        <w:tabs>
          <w:tab w:val="left" w:pos="540"/>
        </w:tabs>
        <w:spacing w:line="360" w:lineRule="auto"/>
        <w:rPr>
          <w:rFonts w:ascii="宋体" w:hAnsi="宋体"/>
          <w:color w:val="auto"/>
          <w:highlight w:val="none"/>
        </w:rPr>
      </w:pPr>
      <w:r>
        <w:rPr>
          <w:rFonts w:hint="eastAsia" w:ascii="宋体" w:hAnsi="宋体"/>
          <w:b/>
          <w:color w:val="auto"/>
          <w:highlight w:val="none"/>
        </w:rPr>
        <w:t xml:space="preserve"> 基本资料（一式四份，其中正本一份，副本三份，密封在同一个文件袋中）</w:t>
      </w:r>
    </w:p>
    <w:p>
      <w:pPr>
        <w:widowControl w:val="0"/>
        <w:tabs>
          <w:tab w:val="left" w:pos="540"/>
        </w:tabs>
        <w:spacing w:line="360" w:lineRule="auto"/>
        <w:ind w:firstLine="540" w:firstLineChars="225"/>
        <w:rPr>
          <w:rFonts w:ascii="宋体" w:hAnsi="宋体"/>
          <w:color w:val="auto"/>
          <w:highlight w:val="none"/>
        </w:rPr>
      </w:pPr>
      <w:r>
        <w:rPr>
          <w:rFonts w:hint="eastAsia" w:ascii="宋体" w:hAnsi="宋体"/>
          <w:color w:val="auto"/>
          <w:highlight w:val="none"/>
        </w:rPr>
        <w:t>文本封面：[封面列出：工程名称、“基本资料”字样、投标单位名称（加盖公章由法定代表人或委托代理人签名）。装订成A4本，封面上标明“正本”或“副本”字样。]</w:t>
      </w:r>
    </w:p>
    <w:p>
      <w:pPr>
        <w:numPr>
          <w:ilvl w:val="0"/>
          <w:numId w:val="4"/>
        </w:numPr>
        <w:spacing w:line="360" w:lineRule="auto"/>
        <w:ind w:left="960"/>
        <w:rPr>
          <w:rFonts w:ascii="宋体" w:hAnsi="宋体"/>
          <w:color w:val="auto"/>
          <w:szCs w:val="21"/>
          <w:highlight w:val="none"/>
        </w:rPr>
      </w:pPr>
      <w:r>
        <w:rPr>
          <w:rFonts w:hint="eastAsia" w:ascii="宋体" w:hAnsi="宋体"/>
          <w:color w:val="auto"/>
          <w:szCs w:val="21"/>
          <w:highlight w:val="none"/>
        </w:rPr>
        <w:t>承诺书</w:t>
      </w:r>
    </w:p>
    <w:p>
      <w:pPr>
        <w:numPr>
          <w:ilvl w:val="0"/>
          <w:numId w:val="4"/>
        </w:numPr>
        <w:spacing w:line="360" w:lineRule="auto"/>
        <w:ind w:left="960"/>
        <w:rPr>
          <w:rFonts w:ascii="宋体" w:hAnsi="宋体"/>
          <w:color w:val="auto"/>
          <w:szCs w:val="21"/>
          <w:highlight w:val="none"/>
        </w:rPr>
      </w:pPr>
      <w:r>
        <w:rPr>
          <w:rFonts w:hint="eastAsia" w:ascii="宋体" w:hAnsi="宋体"/>
          <w:color w:val="auto"/>
          <w:szCs w:val="21"/>
          <w:highlight w:val="none"/>
        </w:rPr>
        <w:t>法定代表人证明书</w:t>
      </w:r>
    </w:p>
    <w:p>
      <w:pPr>
        <w:numPr>
          <w:ilvl w:val="0"/>
          <w:numId w:val="4"/>
        </w:numPr>
        <w:spacing w:line="360" w:lineRule="auto"/>
        <w:ind w:left="960"/>
        <w:rPr>
          <w:rFonts w:ascii="宋体" w:hAnsi="宋体"/>
          <w:color w:val="auto"/>
          <w:szCs w:val="21"/>
          <w:highlight w:val="none"/>
        </w:rPr>
      </w:pPr>
      <w:r>
        <w:rPr>
          <w:rFonts w:hint="eastAsia" w:ascii="宋体" w:hAnsi="宋体"/>
          <w:color w:val="auto"/>
          <w:szCs w:val="21"/>
          <w:highlight w:val="none"/>
        </w:rPr>
        <w:t>法定代表人授权委托书</w:t>
      </w:r>
    </w:p>
    <w:p>
      <w:pPr>
        <w:numPr>
          <w:ilvl w:val="0"/>
          <w:numId w:val="4"/>
        </w:numPr>
        <w:spacing w:line="360" w:lineRule="auto"/>
        <w:ind w:left="960"/>
        <w:rPr>
          <w:rFonts w:ascii="宋体" w:hAnsi="宋体"/>
          <w:color w:val="auto"/>
          <w:szCs w:val="21"/>
          <w:highlight w:val="none"/>
        </w:rPr>
      </w:pPr>
      <w:r>
        <w:rPr>
          <w:rFonts w:hint="eastAsia" w:ascii="宋体" w:hAnsi="宋体"/>
          <w:color w:val="auto"/>
          <w:szCs w:val="21"/>
          <w:highlight w:val="none"/>
        </w:rPr>
        <w:t>企业法人营业执照</w:t>
      </w:r>
    </w:p>
    <w:p>
      <w:pPr>
        <w:numPr>
          <w:ilvl w:val="0"/>
          <w:numId w:val="4"/>
        </w:numPr>
        <w:spacing w:line="360" w:lineRule="auto"/>
        <w:ind w:left="960"/>
        <w:rPr>
          <w:rFonts w:ascii="宋体" w:hAnsi="宋体"/>
          <w:color w:val="auto"/>
          <w:szCs w:val="21"/>
          <w:highlight w:val="none"/>
        </w:rPr>
      </w:pPr>
      <w:r>
        <w:rPr>
          <w:rFonts w:hint="eastAsia" w:ascii="宋体" w:hAnsi="宋体"/>
          <w:color w:val="auto"/>
          <w:szCs w:val="21"/>
          <w:highlight w:val="none"/>
        </w:rPr>
        <w:t>资质证书（如有）</w:t>
      </w:r>
    </w:p>
    <w:p>
      <w:pPr>
        <w:numPr>
          <w:ilvl w:val="0"/>
          <w:numId w:val="4"/>
        </w:numPr>
        <w:spacing w:line="360" w:lineRule="auto"/>
        <w:ind w:left="960"/>
        <w:rPr>
          <w:rFonts w:ascii="宋体" w:hAnsi="宋体"/>
          <w:color w:val="auto"/>
          <w:szCs w:val="21"/>
          <w:highlight w:val="none"/>
        </w:rPr>
      </w:pPr>
      <w:r>
        <w:rPr>
          <w:rFonts w:hint="eastAsia" w:ascii="宋体" w:hAnsi="宋体"/>
          <w:color w:val="auto"/>
          <w:szCs w:val="21"/>
          <w:highlight w:val="none"/>
        </w:rPr>
        <w:t>安全生产许可证（如有）</w:t>
      </w:r>
    </w:p>
    <w:p>
      <w:pPr>
        <w:widowControl w:val="0"/>
        <w:tabs>
          <w:tab w:val="left" w:pos="540"/>
        </w:tabs>
        <w:spacing w:line="360" w:lineRule="auto"/>
        <w:ind w:firstLine="569" w:firstLineChars="236"/>
        <w:rPr>
          <w:rFonts w:ascii="宋体" w:hAnsi="宋体"/>
          <w:b/>
          <w:color w:val="auto"/>
          <w:highlight w:val="none"/>
        </w:rPr>
      </w:pPr>
      <w:r>
        <w:rPr>
          <w:rFonts w:hint="eastAsia" w:ascii="宋体" w:hAnsi="宋体"/>
          <w:b/>
          <w:color w:val="auto"/>
          <w:highlight w:val="none"/>
        </w:rPr>
        <w:t>注：以上资料正本需全部加盖投标单位公章，副本可用已按招标文件要求加盖单位公章并由法定代表人（或委托代理人）签字/印鉴的基本资料正本复印件并加盖骑缝章。</w:t>
      </w:r>
    </w:p>
    <w:p>
      <w:pPr>
        <w:widowControl w:val="0"/>
        <w:numPr>
          <w:ilvl w:val="0"/>
          <w:numId w:val="3"/>
        </w:numPr>
        <w:tabs>
          <w:tab w:val="left" w:pos="540"/>
        </w:tabs>
        <w:spacing w:line="360" w:lineRule="auto"/>
        <w:rPr>
          <w:rFonts w:ascii="宋体" w:hAnsi="宋体"/>
          <w:b/>
          <w:color w:val="auto"/>
          <w:highlight w:val="none"/>
        </w:rPr>
      </w:pPr>
      <w:r>
        <w:rPr>
          <w:rFonts w:hint="eastAsia" w:ascii="宋体" w:hAnsi="宋体"/>
          <w:b/>
          <w:color w:val="auto"/>
          <w:highlight w:val="none"/>
        </w:rPr>
        <w:t>经济标函（一式四份，其中正本一份，副本三份，密封在同一个文件袋中）</w:t>
      </w:r>
    </w:p>
    <w:p>
      <w:pPr>
        <w:widowControl w:val="0"/>
        <w:tabs>
          <w:tab w:val="left" w:pos="540"/>
        </w:tabs>
        <w:spacing w:line="360" w:lineRule="auto"/>
        <w:ind w:firstLine="366" w:firstLineChars="152"/>
        <w:rPr>
          <w:rFonts w:ascii="宋体" w:hAnsi="宋体"/>
          <w:color w:val="auto"/>
          <w:highlight w:val="none"/>
        </w:rPr>
      </w:pPr>
      <w:r>
        <w:rPr>
          <w:rFonts w:hint="eastAsia" w:ascii="宋体" w:hAnsi="宋体"/>
          <w:b/>
          <w:color w:val="auto"/>
          <w:highlight w:val="none"/>
        </w:rPr>
        <w:t xml:space="preserve"> </w:t>
      </w:r>
      <w:r>
        <w:rPr>
          <w:rFonts w:hint="eastAsia" w:ascii="宋体" w:hAnsi="宋体"/>
          <w:color w:val="auto"/>
          <w:highlight w:val="none"/>
        </w:rPr>
        <w:t>经济标函文本封面上必须注明：工程名称、“经济标函”字样、投标单位名称（密封袋封面及密封袋口处均需加盖公章并由法定代表人或委托代理人签名，并在文本封面上注明“正本”或“副本”字样）</w:t>
      </w:r>
    </w:p>
    <w:p>
      <w:pPr>
        <w:numPr>
          <w:ilvl w:val="0"/>
          <w:numId w:val="5"/>
        </w:numPr>
        <w:spacing w:line="360" w:lineRule="auto"/>
        <w:ind w:left="720"/>
        <w:rPr>
          <w:rFonts w:ascii="宋体" w:hAnsi="宋体" w:cs="宋体"/>
          <w:color w:val="auto"/>
          <w:highlight w:val="none"/>
        </w:rPr>
      </w:pPr>
      <w:r>
        <w:rPr>
          <w:rFonts w:hint="eastAsia" w:ascii="宋体" w:hAnsi="宋体" w:cs="宋体"/>
          <w:color w:val="auto"/>
          <w:highlight w:val="none"/>
        </w:rPr>
        <w:t>封面；</w:t>
      </w:r>
    </w:p>
    <w:p>
      <w:pPr>
        <w:numPr>
          <w:ilvl w:val="0"/>
          <w:numId w:val="5"/>
        </w:numPr>
        <w:spacing w:line="360" w:lineRule="auto"/>
        <w:ind w:left="720"/>
        <w:rPr>
          <w:rFonts w:ascii="宋体" w:hAnsi="宋体" w:cs="宋体"/>
          <w:color w:val="auto"/>
          <w:highlight w:val="none"/>
        </w:rPr>
      </w:pPr>
      <w:r>
        <w:rPr>
          <w:rFonts w:hint="eastAsia" w:ascii="宋体" w:hAnsi="宋体" w:cs="宋体"/>
          <w:color w:val="auto"/>
          <w:highlight w:val="none"/>
        </w:rPr>
        <w:t>投标报价表；</w:t>
      </w:r>
    </w:p>
    <w:p>
      <w:pPr>
        <w:numPr>
          <w:ilvl w:val="0"/>
          <w:numId w:val="5"/>
        </w:numPr>
        <w:spacing w:line="360" w:lineRule="auto"/>
        <w:ind w:left="720"/>
        <w:rPr>
          <w:rFonts w:ascii="宋体" w:hAnsi="宋体" w:cs="宋体"/>
          <w:color w:val="auto"/>
          <w:highlight w:val="none"/>
        </w:rPr>
      </w:pPr>
      <w:r>
        <w:rPr>
          <w:rFonts w:hint="eastAsia" w:ascii="宋体" w:hAnsi="宋体" w:cs="宋体"/>
          <w:color w:val="auto"/>
          <w:highlight w:val="none"/>
        </w:rPr>
        <w:t>单位工程投标价汇总表；</w:t>
      </w:r>
    </w:p>
    <w:p>
      <w:pPr>
        <w:numPr>
          <w:ilvl w:val="0"/>
          <w:numId w:val="5"/>
        </w:numPr>
        <w:spacing w:line="360" w:lineRule="auto"/>
        <w:ind w:left="720"/>
        <w:rPr>
          <w:rFonts w:ascii="宋体" w:hAnsi="宋体" w:cs="宋体"/>
          <w:color w:val="auto"/>
          <w:highlight w:val="none"/>
        </w:rPr>
      </w:pPr>
      <w:r>
        <w:rPr>
          <w:rFonts w:hint="eastAsia" w:ascii="宋体" w:hAnsi="宋体" w:cs="宋体"/>
          <w:color w:val="auto"/>
          <w:highlight w:val="none"/>
        </w:rPr>
        <w:t>分部分项工程量清单与计价表；</w:t>
      </w:r>
    </w:p>
    <w:p>
      <w:pPr>
        <w:numPr>
          <w:ilvl w:val="0"/>
          <w:numId w:val="5"/>
        </w:numPr>
        <w:spacing w:line="360" w:lineRule="auto"/>
        <w:ind w:left="720"/>
        <w:rPr>
          <w:rFonts w:ascii="宋体" w:hAnsi="宋体" w:cs="宋体"/>
          <w:color w:val="auto"/>
          <w:highlight w:val="none"/>
        </w:rPr>
      </w:pPr>
      <w:r>
        <w:rPr>
          <w:rFonts w:hint="eastAsia" w:ascii="宋体" w:hAnsi="宋体" w:cs="宋体"/>
          <w:color w:val="auto"/>
          <w:highlight w:val="none"/>
        </w:rPr>
        <w:t>分部分项工程量清单综合单价计算表；</w:t>
      </w:r>
    </w:p>
    <w:p>
      <w:pPr>
        <w:numPr>
          <w:ilvl w:val="0"/>
          <w:numId w:val="5"/>
        </w:numPr>
        <w:spacing w:line="360" w:lineRule="auto"/>
        <w:ind w:left="720"/>
        <w:rPr>
          <w:rFonts w:ascii="宋体" w:hAnsi="宋体" w:cs="宋体"/>
          <w:color w:val="auto"/>
          <w:highlight w:val="none"/>
        </w:rPr>
      </w:pPr>
      <w:r>
        <w:rPr>
          <w:rFonts w:hint="eastAsia" w:ascii="宋体" w:hAnsi="宋体" w:cs="宋体"/>
          <w:color w:val="auto"/>
          <w:highlight w:val="none"/>
        </w:rPr>
        <w:t>措施项目清单与计价表（一）；</w:t>
      </w:r>
    </w:p>
    <w:p>
      <w:pPr>
        <w:numPr>
          <w:ilvl w:val="0"/>
          <w:numId w:val="5"/>
        </w:numPr>
        <w:spacing w:line="360" w:lineRule="auto"/>
        <w:ind w:left="720"/>
        <w:rPr>
          <w:rFonts w:ascii="宋体" w:hAnsi="宋体" w:cs="宋体"/>
          <w:color w:val="auto"/>
          <w:highlight w:val="none"/>
        </w:rPr>
      </w:pPr>
      <w:r>
        <w:rPr>
          <w:rFonts w:hint="eastAsia" w:ascii="宋体" w:hAnsi="宋体" w:cs="宋体"/>
          <w:color w:val="auto"/>
          <w:highlight w:val="none"/>
        </w:rPr>
        <w:t>措施项目清单与计价表（二）；</w:t>
      </w:r>
    </w:p>
    <w:p>
      <w:pPr>
        <w:numPr>
          <w:ilvl w:val="0"/>
          <w:numId w:val="5"/>
        </w:numPr>
        <w:spacing w:line="360" w:lineRule="auto"/>
        <w:ind w:left="720"/>
        <w:rPr>
          <w:rFonts w:ascii="宋体" w:hAnsi="宋体" w:cs="宋体"/>
          <w:color w:val="auto"/>
          <w:highlight w:val="none"/>
        </w:rPr>
      </w:pPr>
      <w:r>
        <w:rPr>
          <w:rFonts w:hint="eastAsia" w:ascii="宋体" w:hAnsi="宋体" w:cs="宋体"/>
          <w:color w:val="auto"/>
          <w:highlight w:val="none"/>
        </w:rPr>
        <w:t>其他项目清单计价表；</w:t>
      </w:r>
    </w:p>
    <w:p>
      <w:pPr>
        <w:widowControl w:val="0"/>
        <w:numPr>
          <w:ilvl w:val="0"/>
          <w:numId w:val="5"/>
        </w:numPr>
        <w:tabs>
          <w:tab w:val="left" w:pos="720"/>
        </w:tabs>
        <w:spacing w:line="360" w:lineRule="auto"/>
        <w:ind w:left="720"/>
        <w:rPr>
          <w:rFonts w:ascii="宋体" w:hAnsi="宋体"/>
          <w:color w:val="auto"/>
          <w:highlight w:val="none"/>
        </w:rPr>
      </w:pPr>
      <w:r>
        <w:rPr>
          <w:rFonts w:hint="eastAsia" w:ascii="宋体" w:hAnsi="宋体" w:cs="宋体"/>
          <w:color w:val="auto"/>
          <w:highlight w:val="none"/>
        </w:rPr>
        <w:t>主要材料设备价格表</w:t>
      </w:r>
    </w:p>
    <w:p>
      <w:pPr>
        <w:widowControl w:val="0"/>
        <w:tabs>
          <w:tab w:val="left" w:pos="540"/>
        </w:tabs>
        <w:spacing w:line="360" w:lineRule="auto"/>
        <w:ind w:firstLine="540" w:firstLineChars="225"/>
        <w:rPr>
          <w:rFonts w:ascii="宋体" w:hAnsi="宋体"/>
          <w:color w:val="auto"/>
          <w:highlight w:val="none"/>
        </w:rPr>
      </w:pPr>
      <w:r>
        <w:rPr>
          <w:rFonts w:hint="eastAsia" w:ascii="宋体" w:hAnsi="宋体"/>
          <w:color w:val="auto"/>
          <w:highlight w:val="none"/>
        </w:rPr>
        <w:t>①投标报价表由委托人或法人代表签名并加盖公章，投标人报价以投标总价作报价。报价表中如有大写与小写不一致时，以大写为准。</w:t>
      </w:r>
    </w:p>
    <w:p>
      <w:pPr>
        <w:tabs>
          <w:tab w:val="left" w:pos="540"/>
        </w:tabs>
        <w:spacing w:line="360" w:lineRule="auto"/>
        <w:ind w:firstLine="540" w:firstLineChars="225"/>
        <w:rPr>
          <w:rFonts w:ascii="宋体" w:hAnsi="宋体"/>
          <w:color w:val="auto"/>
          <w:szCs w:val="21"/>
          <w:highlight w:val="non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 2 \* GB3</w:instrText>
      </w:r>
      <w:r>
        <w:rPr>
          <w:rFonts w:ascii="宋体" w:hAnsi="宋体"/>
          <w:color w:val="auto"/>
          <w:highlight w:val="none"/>
        </w:rPr>
        <w:instrText xml:space="preserve"> </w:instrText>
      </w:r>
      <w:r>
        <w:rPr>
          <w:rFonts w:ascii="宋体" w:hAnsi="宋体"/>
          <w:color w:val="auto"/>
          <w:highlight w:val="none"/>
        </w:rPr>
        <w:fldChar w:fldCharType="separate"/>
      </w:r>
      <w:r>
        <w:rPr>
          <w:rFonts w:hint="eastAsia" w:ascii="宋体" w:hAnsi="宋体"/>
          <w:color w:val="auto"/>
          <w:highlight w:val="none"/>
        </w:rPr>
        <w:t>②</w:t>
      </w:r>
      <w:r>
        <w:rPr>
          <w:rFonts w:ascii="宋体" w:hAnsi="宋体"/>
          <w:color w:val="auto"/>
          <w:highlight w:val="none"/>
        </w:rPr>
        <w:fldChar w:fldCharType="end"/>
      </w:r>
      <w:r>
        <w:rPr>
          <w:rFonts w:hint="eastAsia" w:ascii="宋体" w:hAnsi="宋体"/>
          <w:color w:val="auto"/>
          <w:highlight w:val="none"/>
        </w:rPr>
        <w:t>投</w:t>
      </w:r>
      <w:r>
        <w:rPr>
          <w:rFonts w:hint="eastAsia" w:ascii="宋体" w:hAnsi="宋体"/>
          <w:color w:val="auto"/>
          <w:szCs w:val="21"/>
          <w:highlight w:val="none"/>
        </w:rPr>
        <w:t>标报价有算术错误的，评标委员会按以下原则对投标报价进行修正，修正的价格经投标人书面确认后具有约束力。投标人不接受修正价格的，其投标作废标处理。</w:t>
      </w:r>
    </w:p>
    <w:p>
      <w:pPr>
        <w:numPr>
          <w:ilvl w:val="4"/>
          <w:numId w:val="6"/>
        </w:numPr>
        <w:tabs>
          <w:tab w:val="left" w:pos="1080"/>
          <w:tab w:val="clear" w:pos="2100"/>
        </w:tabs>
        <w:spacing w:line="360" w:lineRule="auto"/>
        <w:ind w:left="1080" w:hanging="540"/>
        <w:rPr>
          <w:rFonts w:ascii="宋体" w:hAnsi="宋体"/>
          <w:color w:val="auto"/>
          <w:szCs w:val="21"/>
          <w:highlight w:val="none"/>
        </w:rPr>
      </w:pPr>
      <w:r>
        <w:rPr>
          <w:rFonts w:hint="eastAsia" w:ascii="宋体" w:hAnsi="宋体"/>
          <w:color w:val="auto"/>
          <w:szCs w:val="21"/>
          <w:highlight w:val="none"/>
        </w:rPr>
        <w:t>投标文件中的大写金额与小写金额不一致的，以大写金额为准；（小写金额与合计价一致的除外）</w:t>
      </w:r>
    </w:p>
    <w:p>
      <w:pPr>
        <w:numPr>
          <w:ilvl w:val="4"/>
          <w:numId w:val="6"/>
        </w:numPr>
        <w:tabs>
          <w:tab w:val="left" w:pos="1080"/>
          <w:tab w:val="clear" w:pos="2100"/>
        </w:tabs>
        <w:spacing w:line="360" w:lineRule="auto"/>
        <w:ind w:left="1080" w:hanging="540"/>
        <w:rPr>
          <w:rFonts w:ascii="宋体" w:hAnsi="宋体"/>
          <w:color w:val="auto"/>
          <w:szCs w:val="21"/>
          <w:highlight w:val="none"/>
        </w:rPr>
      </w:pPr>
      <w:r>
        <w:rPr>
          <w:rFonts w:hint="eastAsia" w:ascii="宋体" w:hAnsi="宋体"/>
          <w:color w:val="auto"/>
          <w:szCs w:val="21"/>
          <w:highlight w:val="none"/>
        </w:rPr>
        <w:t>总价金额与依据单价计算出的结果不一致的，以单价金额为准修正总价，但单价金额小数点有明显错误的除外。</w:t>
      </w:r>
    </w:p>
    <w:p>
      <w:pPr>
        <w:widowControl w:val="0"/>
        <w:numPr>
          <w:ilvl w:val="1"/>
          <w:numId w:val="7"/>
        </w:numPr>
        <w:tabs>
          <w:tab w:val="left" w:pos="540"/>
          <w:tab w:val="clear" w:pos="840"/>
        </w:tabs>
        <w:spacing w:line="360" w:lineRule="auto"/>
        <w:ind w:left="540" w:hanging="540"/>
        <w:rPr>
          <w:rFonts w:ascii="宋体" w:hAnsi="宋体"/>
          <w:color w:val="auto"/>
          <w:highlight w:val="none"/>
        </w:rPr>
      </w:pPr>
      <w:r>
        <w:rPr>
          <w:rFonts w:hint="eastAsia" w:ascii="宋体" w:hAnsi="宋体"/>
          <w:color w:val="auto"/>
          <w:highlight w:val="none"/>
        </w:rPr>
        <w:t>投标文件正、副本不一致时，以正本为准。</w:t>
      </w:r>
    </w:p>
    <w:p>
      <w:pPr>
        <w:widowControl w:val="0"/>
        <w:numPr>
          <w:ilvl w:val="0"/>
          <w:numId w:val="3"/>
        </w:numPr>
        <w:tabs>
          <w:tab w:val="left" w:pos="540"/>
        </w:tabs>
        <w:spacing w:line="360" w:lineRule="auto"/>
        <w:rPr>
          <w:rFonts w:ascii="宋体" w:hAnsi="宋体"/>
          <w:b/>
          <w:color w:val="auto"/>
          <w:highlight w:val="none"/>
        </w:rPr>
      </w:pPr>
      <w:r>
        <w:rPr>
          <w:rFonts w:hint="eastAsia" w:ascii="宋体" w:hAnsi="宋体"/>
          <w:b/>
          <w:color w:val="auto"/>
          <w:highlight w:val="none"/>
        </w:rPr>
        <w:t>投标文件的密封与标记：</w:t>
      </w:r>
    </w:p>
    <w:p>
      <w:pPr>
        <w:widowControl w:val="0"/>
        <w:numPr>
          <w:ilvl w:val="0"/>
          <w:numId w:val="8"/>
        </w:numPr>
        <w:tabs>
          <w:tab w:val="left" w:pos="540"/>
        </w:tabs>
        <w:spacing w:line="360" w:lineRule="auto"/>
        <w:rPr>
          <w:rFonts w:ascii="宋体" w:hAnsi="宋体"/>
          <w:color w:val="auto"/>
          <w:highlight w:val="none"/>
        </w:rPr>
      </w:pPr>
      <w:r>
        <w:rPr>
          <w:rFonts w:hint="eastAsia" w:ascii="宋体" w:hAnsi="宋体"/>
          <w:color w:val="auto"/>
          <w:highlight w:val="none"/>
        </w:rPr>
        <w:t>密封：投标文件的基本资料和经济标函应分别单独包装密封。</w:t>
      </w:r>
    </w:p>
    <w:p>
      <w:pPr>
        <w:widowControl w:val="0"/>
        <w:numPr>
          <w:ilvl w:val="0"/>
          <w:numId w:val="8"/>
        </w:numPr>
        <w:tabs>
          <w:tab w:val="left" w:pos="540"/>
        </w:tabs>
        <w:spacing w:line="360" w:lineRule="auto"/>
        <w:rPr>
          <w:rFonts w:ascii="宋体" w:hAnsi="宋体"/>
          <w:color w:val="auto"/>
          <w:highlight w:val="none"/>
        </w:rPr>
      </w:pPr>
      <w:r>
        <w:rPr>
          <w:rFonts w:hint="eastAsia" w:ascii="宋体" w:hAnsi="宋体"/>
          <w:color w:val="auto"/>
          <w:highlight w:val="none"/>
        </w:rPr>
        <w:t>标记：在每个密封外包文件袋上应分别写明：工程名称、投标文件的标函名称、招标人名称和投标人全称，并在外包文件袋封面上由法定代表人或法定代表人委托代理人签名并加盖投标人公章。</w:t>
      </w:r>
    </w:p>
    <w:p>
      <w:pPr>
        <w:widowControl w:val="0"/>
        <w:numPr>
          <w:ilvl w:val="0"/>
          <w:numId w:val="8"/>
        </w:numPr>
        <w:tabs>
          <w:tab w:val="left" w:pos="540"/>
        </w:tabs>
        <w:spacing w:line="360" w:lineRule="auto"/>
        <w:rPr>
          <w:color w:val="auto"/>
          <w:highlight w:val="none"/>
        </w:rPr>
      </w:pPr>
      <w:r>
        <w:rPr>
          <w:rFonts w:hint="eastAsia"/>
          <w:color w:val="auto"/>
          <w:highlight w:val="none"/>
        </w:rPr>
        <w:t>电子标函一份，封装在基本资料标函中。</w:t>
      </w:r>
    </w:p>
    <w:p>
      <w:pPr>
        <w:spacing w:line="360" w:lineRule="auto"/>
        <w:rPr>
          <w:rFonts w:ascii="宋体" w:hAnsi="宋体"/>
          <w:b/>
          <w:color w:val="auto"/>
          <w:highlight w:val="none"/>
        </w:rPr>
      </w:pPr>
      <w:r>
        <w:rPr>
          <w:rFonts w:hint="eastAsia" w:ascii="宋体" w:hAnsi="宋体"/>
          <w:b/>
          <w:color w:val="auto"/>
          <w:highlight w:val="none"/>
        </w:rPr>
        <w:t>3.2投标有效期</w:t>
      </w:r>
    </w:p>
    <w:p>
      <w:pPr>
        <w:spacing w:line="360" w:lineRule="auto"/>
        <w:rPr>
          <w:rFonts w:ascii="宋体" w:hAnsi="宋体"/>
          <w:b/>
          <w:color w:val="auto"/>
          <w:highlight w:val="none"/>
        </w:rPr>
      </w:pPr>
      <w:r>
        <w:rPr>
          <w:rFonts w:hint="eastAsia" w:ascii="宋体" w:hAnsi="宋体"/>
          <w:color w:val="auto"/>
          <w:szCs w:val="21"/>
          <w:highlight w:val="none"/>
        </w:rPr>
        <w:t>3.2.1 在投标人须知前附表规定的投标有效期内，投标人不得要求撤销或修改其投标文件。</w:t>
      </w:r>
    </w:p>
    <w:p>
      <w:pPr>
        <w:spacing w:line="360" w:lineRule="auto"/>
        <w:rPr>
          <w:rFonts w:ascii="宋体" w:hAnsi="宋体"/>
          <w:b/>
          <w:color w:val="auto"/>
          <w:highlight w:val="none"/>
        </w:rPr>
      </w:pPr>
      <w:r>
        <w:rPr>
          <w:rFonts w:hint="eastAsia" w:ascii="宋体" w:hAnsi="宋体"/>
          <w:b/>
          <w:color w:val="auto"/>
          <w:highlight w:val="none"/>
        </w:rPr>
        <w:t>3.3投标保证金</w:t>
      </w:r>
    </w:p>
    <w:p>
      <w:pPr>
        <w:spacing w:line="360" w:lineRule="auto"/>
        <w:rPr>
          <w:rFonts w:ascii="宋体" w:hAnsi="宋体"/>
          <w:color w:val="auto"/>
          <w:highlight w:val="none"/>
        </w:rPr>
      </w:pPr>
      <w:r>
        <w:rPr>
          <w:rFonts w:hint="eastAsia" w:ascii="宋体" w:hAnsi="宋体"/>
          <w:color w:val="auto"/>
          <w:highlight w:val="none"/>
        </w:rPr>
        <w:t>见投标人须知前附表。</w:t>
      </w:r>
    </w:p>
    <w:p>
      <w:pPr>
        <w:spacing w:line="360" w:lineRule="auto"/>
        <w:rPr>
          <w:rFonts w:ascii="宋体" w:hAnsi="宋体"/>
          <w:b/>
          <w:color w:val="auto"/>
          <w:highlight w:val="none"/>
        </w:rPr>
      </w:pPr>
      <w:r>
        <w:rPr>
          <w:rFonts w:hint="eastAsia" w:ascii="宋体" w:hAnsi="宋体"/>
          <w:b/>
          <w:color w:val="auto"/>
          <w:highlight w:val="none"/>
        </w:rPr>
        <w:t>3.4备选投标方案</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pPr>
        <w:spacing w:line="360" w:lineRule="auto"/>
        <w:rPr>
          <w:rFonts w:ascii="宋体" w:hAnsi="宋体"/>
          <w:b/>
          <w:color w:val="auto"/>
          <w:highlight w:val="none"/>
        </w:rPr>
      </w:pPr>
      <w:bookmarkStart w:id="24" w:name="_Toc184635074"/>
      <w:bookmarkStart w:id="25" w:name="_Toc45126831"/>
      <w:r>
        <w:rPr>
          <w:rFonts w:hint="eastAsia" w:ascii="宋体" w:hAnsi="宋体"/>
          <w:b/>
          <w:color w:val="auto"/>
          <w:highlight w:val="none"/>
        </w:rPr>
        <w:t>4．投标</w:t>
      </w:r>
      <w:bookmarkEnd w:id="24"/>
      <w:bookmarkEnd w:id="25"/>
    </w:p>
    <w:p>
      <w:pPr>
        <w:spacing w:line="360" w:lineRule="auto"/>
        <w:rPr>
          <w:rFonts w:ascii="宋体" w:hAnsi="宋体"/>
          <w:b/>
          <w:color w:val="auto"/>
          <w:highlight w:val="none"/>
        </w:rPr>
      </w:pPr>
      <w:r>
        <w:rPr>
          <w:rFonts w:hint="eastAsia" w:ascii="宋体" w:hAnsi="宋体"/>
          <w:b/>
          <w:color w:val="auto"/>
          <w:highlight w:val="none"/>
        </w:rPr>
        <w:t>4.1投标文件的制作要求</w:t>
      </w:r>
    </w:p>
    <w:p>
      <w:pPr>
        <w:spacing w:line="360" w:lineRule="auto"/>
        <w:rPr>
          <w:rFonts w:ascii="宋体" w:hAnsi="宋体"/>
          <w:color w:val="auto"/>
          <w:highlight w:val="none"/>
        </w:rPr>
      </w:pPr>
      <w:r>
        <w:rPr>
          <w:rFonts w:hint="eastAsia" w:ascii="宋体" w:hAnsi="宋体"/>
          <w:color w:val="auto"/>
          <w:highlight w:val="none"/>
        </w:rPr>
        <w:t>4.1.1投标文件（基本资料、经济标函）全部电子文档必须采用PDF形式，正本与副本</w:t>
      </w:r>
      <w:r>
        <w:rPr>
          <w:rFonts w:hint="eastAsia" w:ascii="宋体" w:hAnsi="宋体"/>
          <w:b/>
          <w:color w:val="auto"/>
          <w:highlight w:val="none"/>
        </w:rPr>
        <w:t>密封在同一个文件袋中</w:t>
      </w:r>
      <w:r>
        <w:rPr>
          <w:rFonts w:hint="eastAsia" w:ascii="宋体" w:hAnsi="宋体"/>
          <w:color w:val="auto"/>
          <w:highlight w:val="none"/>
        </w:rPr>
        <w:t>。</w:t>
      </w:r>
    </w:p>
    <w:p>
      <w:pPr>
        <w:spacing w:line="360" w:lineRule="auto"/>
        <w:rPr>
          <w:rFonts w:ascii="宋体" w:hAnsi="宋体"/>
          <w:b/>
          <w:color w:val="auto"/>
          <w:highlight w:val="none"/>
        </w:rPr>
      </w:pPr>
      <w:r>
        <w:rPr>
          <w:rFonts w:hint="eastAsia" w:ascii="宋体" w:hAnsi="宋体"/>
          <w:b/>
          <w:color w:val="auto"/>
          <w:highlight w:val="none"/>
        </w:rPr>
        <w:t>4.1.2 投标文件的密封与标记</w:t>
      </w:r>
    </w:p>
    <w:p>
      <w:pPr>
        <w:widowControl w:val="0"/>
        <w:tabs>
          <w:tab w:val="left" w:pos="540"/>
        </w:tabs>
        <w:spacing w:line="360" w:lineRule="auto"/>
        <w:rPr>
          <w:rFonts w:ascii="宋体" w:hAnsi="宋体"/>
          <w:color w:val="auto"/>
          <w:highlight w:val="none"/>
        </w:rPr>
      </w:pPr>
      <w:r>
        <w:rPr>
          <w:rFonts w:hint="eastAsia" w:ascii="宋体" w:hAnsi="宋体"/>
          <w:color w:val="auto"/>
          <w:highlight w:val="none"/>
        </w:rPr>
        <w:t>（1）密封：投标文件（基本资料、经济标函）应密封包装。</w:t>
      </w:r>
    </w:p>
    <w:p>
      <w:pPr>
        <w:widowControl w:val="0"/>
        <w:tabs>
          <w:tab w:val="left" w:pos="540"/>
        </w:tabs>
        <w:spacing w:line="360" w:lineRule="auto"/>
        <w:rPr>
          <w:rFonts w:ascii="宋体" w:hAnsi="宋体"/>
          <w:color w:val="auto"/>
          <w:highlight w:val="none"/>
        </w:rPr>
      </w:pPr>
      <w:r>
        <w:rPr>
          <w:rFonts w:hint="eastAsia" w:ascii="宋体" w:hAnsi="宋体"/>
          <w:color w:val="auto"/>
          <w:highlight w:val="none"/>
        </w:rPr>
        <w:t>（2）标记：按3.1.1投标文件</w:t>
      </w:r>
      <w:r>
        <w:rPr>
          <w:rFonts w:hint="eastAsia" w:ascii="宋体" w:hAnsi="宋体"/>
          <w:color w:val="auto"/>
          <w:highlight w:val="none"/>
          <w:lang w:eastAsia="zh-CN"/>
        </w:rPr>
        <w:t>密封与标记</w:t>
      </w:r>
      <w:r>
        <w:rPr>
          <w:rFonts w:hint="eastAsia" w:ascii="宋体" w:hAnsi="宋体"/>
          <w:color w:val="auto"/>
          <w:highlight w:val="none"/>
        </w:rPr>
        <w:t>要求标记；</w:t>
      </w:r>
    </w:p>
    <w:p>
      <w:pPr>
        <w:spacing w:line="360" w:lineRule="auto"/>
        <w:rPr>
          <w:rFonts w:ascii="宋体" w:hAnsi="宋体"/>
          <w:color w:val="auto"/>
          <w:highlight w:val="none"/>
        </w:rPr>
      </w:pPr>
      <w:r>
        <w:rPr>
          <w:rFonts w:hint="eastAsia" w:ascii="宋体" w:hAnsi="宋体"/>
          <w:color w:val="auto"/>
          <w:highlight w:val="none"/>
        </w:rPr>
        <w:t>（3）纸质评标的投标文件按招标文件要求装订和密封投标文件的正本与副本须包装在同一密封袋内，并在封套上加盖投标人单位章。</w:t>
      </w:r>
    </w:p>
    <w:p>
      <w:pPr>
        <w:spacing w:line="360" w:lineRule="auto"/>
        <w:rPr>
          <w:rFonts w:ascii="宋体" w:hAnsi="宋体"/>
          <w:b/>
          <w:color w:val="auto"/>
          <w:highlight w:val="none"/>
        </w:rPr>
      </w:pPr>
      <w:r>
        <w:rPr>
          <w:rFonts w:hint="eastAsia" w:ascii="宋体" w:hAnsi="宋体"/>
          <w:b/>
          <w:color w:val="auto"/>
          <w:highlight w:val="none"/>
        </w:rPr>
        <w:t>4.2 投标文件的递交</w:t>
      </w:r>
    </w:p>
    <w:p>
      <w:pPr>
        <w:spacing w:line="360" w:lineRule="auto"/>
        <w:rPr>
          <w:rFonts w:ascii="宋体" w:hAnsi="宋体"/>
          <w:color w:val="auto"/>
          <w:highlight w:val="none"/>
        </w:rPr>
      </w:pPr>
      <w:r>
        <w:rPr>
          <w:rFonts w:hint="eastAsia" w:ascii="宋体" w:hAnsi="宋体"/>
          <w:color w:val="auto"/>
          <w:highlight w:val="none"/>
        </w:rPr>
        <w:t>4.2.1投标人应在投标人须知前附表规定的投标截止时间前递交投标文件。</w:t>
      </w:r>
    </w:p>
    <w:p>
      <w:pPr>
        <w:spacing w:line="360" w:lineRule="auto"/>
        <w:rPr>
          <w:rFonts w:ascii="宋体" w:hAnsi="宋体"/>
          <w:color w:val="auto"/>
          <w:highlight w:val="none"/>
        </w:rPr>
      </w:pPr>
      <w:r>
        <w:rPr>
          <w:rFonts w:hint="eastAsia" w:ascii="宋体" w:hAnsi="宋体"/>
          <w:color w:val="auto"/>
          <w:highlight w:val="none"/>
        </w:rPr>
        <w:t>4.2.2 逾期递交的投标文件，不予受理。</w:t>
      </w:r>
    </w:p>
    <w:p>
      <w:pPr>
        <w:spacing w:line="360" w:lineRule="auto"/>
        <w:rPr>
          <w:rFonts w:ascii="宋体" w:hAnsi="宋体"/>
          <w:b/>
          <w:color w:val="auto"/>
          <w:highlight w:val="none"/>
        </w:rPr>
      </w:pPr>
      <w:r>
        <w:rPr>
          <w:rFonts w:hint="eastAsia" w:ascii="宋体" w:hAnsi="宋体"/>
          <w:b/>
          <w:color w:val="auto"/>
          <w:highlight w:val="none"/>
        </w:rPr>
        <w:t>4.3 投标文件的修改与撤回</w:t>
      </w:r>
    </w:p>
    <w:p>
      <w:pPr>
        <w:spacing w:line="360" w:lineRule="auto"/>
        <w:rPr>
          <w:rFonts w:ascii="宋体" w:hAnsi="宋体"/>
          <w:color w:val="auto"/>
          <w:highlight w:val="none"/>
        </w:rPr>
      </w:pPr>
      <w:r>
        <w:rPr>
          <w:rFonts w:hint="eastAsia" w:ascii="宋体" w:hAnsi="宋体"/>
          <w:color w:val="auto"/>
          <w:highlight w:val="none"/>
        </w:rPr>
        <w:t>4.3.1在投标人须知前附表规定的投标截止时间前，投标人可以修改已递交的投标文件。修改的内容为投标文件的组成部分。修改的投标文件应按照本章第3 条、第4 条规定进行编制、密封、标记和递交，并标明“修改”字样。</w:t>
      </w:r>
    </w:p>
    <w:p>
      <w:pPr>
        <w:spacing w:line="360" w:lineRule="auto"/>
        <w:rPr>
          <w:rFonts w:ascii="宋体" w:hAnsi="宋体"/>
          <w:color w:val="auto"/>
          <w:szCs w:val="21"/>
          <w:highlight w:val="none"/>
        </w:rPr>
      </w:pPr>
      <w:r>
        <w:rPr>
          <w:rFonts w:hint="eastAsia" w:ascii="宋体" w:hAnsi="宋体"/>
          <w:color w:val="auto"/>
          <w:szCs w:val="21"/>
          <w:highlight w:val="none"/>
        </w:rPr>
        <w:t>4.3.2 投标人撤回已递交投标文件的书面通知应按照本章的要求签字或盖章。招标人收到书面通知后，向投标人出具签收凭证。</w:t>
      </w:r>
    </w:p>
    <w:p>
      <w:pPr>
        <w:spacing w:line="360" w:lineRule="auto"/>
        <w:rPr>
          <w:rFonts w:ascii="宋体" w:hAnsi="宋体"/>
          <w:b/>
          <w:color w:val="auto"/>
          <w:highlight w:val="none"/>
        </w:rPr>
      </w:pPr>
      <w:bookmarkStart w:id="26" w:name="_Toc184635075"/>
      <w:bookmarkStart w:id="27" w:name="_Toc45126832"/>
      <w:r>
        <w:rPr>
          <w:rFonts w:hint="eastAsia" w:ascii="宋体" w:hAnsi="宋体"/>
          <w:b/>
          <w:color w:val="auto"/>
          <w:highlight w:val="none"/>
        </w:rPr>
        <w:t>5.开标</w:t>
      </w:r>
      <w:bookmarkEnd w:id="26"/>
      <w:bookmarkEnd w:id="27"/>
    </w:p>
    <w:p>
      <w:pPr>
        <w:spacing w:line="360" w:lineRule="auto"/>
        <w:rPr>
          <w:rFonts w:ascii="宋体" w:hAnsi="宋体"/>
          <w:b/>
          <w:color w:val="auto"/>
          <w:highlight w:val="none"/>
        </w:rPr>
      </w:pPr>
      <w:r>
        <w:rPr>
          <w:rFonts w:hint="eastAsia" w:ascii="宋体" w:hAnsi="宋体"/>
          <w:b/>
          <w:color w:val="auto"/>
          <w:highlight w:val="none"/>
        </w:rPr>
        <w:t>5.1开标时间和地点</w:t>
      </w:r>
    </w:p>
    <w:p>
      <w:pPr>
        <w:spacing w:line="360" w:lineRule="auto"/>
        <w:ind w:firstLine="482" w:firstLineChars="200"/>
        <w:rPr>
          <w:rFonts w:ascii="宋体" w:hAnsi="宋体"/>
          <w:b/>
          <w:color w:val="auto"/>
          <w:highlight w:val="none"/>
        </w:rPr>
      </w:pPr>
      <w:r>
        <w:rPr>
          <w:rFonts w:hint="eastAsia" w:ascii="宋体" w:hAnsi="宋体"/>
          <w:b/>
          <w:color w:val="auto"/>
          <w:highlight w:val="none"/>
        </w:rPr>
        <w:t>在规定的开标时间和投标人须知前附表规定的地点公开开标，并邀请所有投标人的法定代表人或其委托的代理人准时参加。</w:t>
      </w:r>
    </w:p>
    <w:p>
      <w:pPr>
        <w:spacing w:line="360" w:lineRule="auto"/>
        <w:rPr>
          <w:rFonts w:ascii="宋体" w:hAnsi="宋体"/>
          <w:b/>
          <w:color w:val="auto"/>
          <w:highlight w:val="none"/>
        </w:rPr>
      </w:pPr>
      <w:r>
        <w:rPr>
          <w:rFonts w:hint="eastAsia" w:ascii="宋体" w:hAnsi="宋体"/>
          <w:b/>
          <w:color w:val="auto"/>
          <w:highlight w:val="none"/>
        </w:rPr>
        <w:t>5.2开标程序</w:t>
      </w:r>
    </w:p>
    <w:p>
      <w:pPr>
        <w:spacing w:line="360" w:lineRule="auto"/>
        <w:rPr>
          <w:rFonts w:ascii="宋体" w:hAnsi="宋体"/>
          <w:color w:val="auto"/>
          <w:highlight w:val="none"/>
        </w:rPr>
      </w:pPr>
      <w:r>
        <w:rPr>
          <w:rFonts w:hint="eastAsia" w:ascii="宋体" w:hAnsi="宋体"/>
          <w:color w:val="auto"/>
          <w:highlight w:val="none"/>
        </w:rPr>
        <w:t>主持人按下列程序进行开标：</w:t>
      </w:r>
    </w:p>
    <w:p>
      <w:pPr>
        <w:numPr>
          <w:ilvl w:val="0"/>
          <w:numId w:val="9"/>
        </w:numPr>
        <w:spacing w:line="360" w:lineRule="auto"/>
        <w:rPr>
          <w:rFonts w:ascii="宋体" w:hAnsi="宋体"/>
          <w:color w:val="auto"/>
          <w:szCs w:val="21"/>
          <w:highlight w:val="none"/>
        </w:rPr>
      </w:pPr>
      <w:r>
        <w:rPr>
          <w:rFonts w:hint="eastAsia" w:ascii="宋体" w:hAnsi="宋体"/>
          <w:color w:val="auto"/>
          <w:szCs w:val="21"/>
          <w:highlight w:val="none"/>
        </w:rPr>
        <w:t>招标人或招标代理接收纸质投标文件，投标人法定代表人或授权代表到现场完成纸质签到；</w:t>
      </w:r>
    </w:p>
    <w:p>
      <w:pPr>
        <w:numPr>
          <w:ilvl w:val="0"/>
          <w:numId w:val="9"/>
        </w:numPr>
        <w:spacing w:line="360" w:lineRule="auto"/>
        <w:rPr>
          <w:rFonts w:ascii="宋体" w:hAnsi="宋体"/>
          <w:color w:val="auto"/>
          <w:szCs w:val="21"/>
          <w:highlight w:val="none"/>
        </w:rPr>
      </w:pPr>
      <w:r>
        <w:rPr>
          <w:rFonts w:hint="eastAsia" w:ascii="宋体" w:hAnsi="宋体"/>
          <w:color w:val="auto"/>
          <w:szCs w:val="21"/>
          <w:highlight w:val="none"/>
        </w:rPr>
        <w:t>招标人或招标代理</w:t>
      </w:r>
      <w:r>
        <w:rPr>
          <w:rFonts w:hint="eastAsia" w:ascii="宋体" w:hAnsi="宋体" w:cs="宋体"/>
          <w:color w:val="auto"/>
          <w:szCs w:val="21"/>
          <w:highlight w:val="none"/>
        </w:rPr>
        <w:t>宣布投标文件递交截止时间到（以开标室投影屏的显示时间为准），迟于此时间递交的投标文件不予接受；</w:t>
      </w:r>
      <w:r>
        <w:rPr>
          <w:rFonts w:hint="eastAsia" w:ascii="宋体" w:hAnsi="宋体"/>
          <w:color w:val="auto"/>
          <w:szCs w:val="21"/>
          <w:highlight w:val="none"/>
        </w:rPr>
        <w:t xml:space="preserve"> </w:t>
      </w:r>
    </w:p>
    <w:p>
      <w:pPr>
        <w:numPr>
          <w:ilvl w:val="0"/>
          <w:numId w:val="9"/>
        </w:numPr>
        <w:spacing w:line="360" w:lineRule="auto"/>
        <w:rPr>
          <w:rFonts w:ascii="宋体" w:hAnsi="宋体"/>
          <w:color w:val="auto"/>
          <w:szCs w:val="21"/>
          <w:highlight w:val="none"/>
        </w:rPr>
      </w:pPr>
      <w:r>
        <w:rPr>
          <w:rFonts w:hint="eastAsia" w:ascii="宋体" w:hAnsi="宋体"/>
          <w:color w:val="auto"/>
          <w:szCs w:val="21"/>
          <w:highlight w:val="none"/>
        </w:rPr>
        <w:t xml:space="preserve">招标人或招标代理宣布开标纪律、开标人、唱标人、记录人、监标人（如有）等有关人员姓名； </w:t>
      </w:r>
    </w:p>
    <w:p>
      <w:pPr>
        <w:numPr>
          <w:ilvl w:val="0"/>
          <w:numId w:val="9"/>
        </w:numPr>
        <w:spacing w:line="360" w:lineRule="auto"/>
        <w:rPr>
          <w:rFonts w:ascii="宋体" w:hAnsi="宋体"/>
          <w:color w:val="auto"/>
          <w:szCs w:val="21"/>
          <w:highlight w:val="none"/>
        </w:rPr>
      </w:pPr>
      <w:r>
        <w:rPr>
          <w:rFonts w:hint="eastAsia" w:ascii="宋体" w:hAnsi="宋体"/>
          <w:color w:val="auto"/>
          <w:szCs w:val="21"/>
          <w:highlight w:val="none"/>
        </w:rPr>
        <w:t>招标人或招标代理检查现场递交投标文件的情况。即检查基本资料和经济标函外包装的密封、签字、盖章是否符合招标文件要求。</w:t>
      </w:r>
    </w:p>
    <w:p>
      <w:pPr>
        <w:numPr>
          <w:ilvl w:val="0"/>
          <w:numId w:val="9"/>
        </w:numPr>
        <w:spacing w:line="360" w:lineRule="auto"/>
        <w:rPr>
          <w:rFonts w:ascii="宋体" w:hAnsi="宋体"/>
          <w:color w:val="auto"/>
          <w:highlight w:val="none"/>
        </w:rPr>
      </w:pPr>
      <w:r>
        <w:rPr>
          <w:rFonts w:hint="eastAsia" w:ascii="宋体" w:hAnsi="宋体"/>
          <w:color w:val="auto"/>
          <w:szCs w:val="21"/>
          <w:highlight w:val="none"/>
        </w:rPr>
        <w:t>招标代理机构工作人员当众开启符合上述要求的投标人的投标文件（先开启基本资料标函、基本资料审查通过的开启经济标函并唱出投标报价）。</w:t>
      </w:r>
      <w:r>
        <w:rPr>
          <w:rFonts w:hint="eastAsia" w:ascii="宋体" w:hAnsi="宋体"/>
          <w:color w:val="auto"/>
          <w:highlight w:val="none"/>
        </w:rPr>
        <w:t xml:space="preserve"> </w:t>
      </w:r>
    </w:p>
    <w:p>
      <w:pPr>
        <w:spacing w:line="360" w:lineRule="auto"/>
        <w:rPr>
          <w:rFonts w:ascii="宋体" w:hAnsi="宋体"/>
          <w:b/>
          <w:color w:val="auto"/>
          <w:highlight w:val="none"/>
        </w:rPr>
      </w:pPr>
      <w:r>
        <w:rPr>
          <w:rFonts w:hint="eastAsia" w:ascii="宋体" w:hAnsi="宋体"/>
          <w:b/>
          <w:color w:val="auto"/>
          <w:highlight w:val="none"/>
        </w:rPr>
        <w:t xml:space="preserve">5.3 </w:t>
      </w:r>
      <w:r>
        <w:rPr>
          <w:rFonts w:hint="eastAsia" w:ascii="宋体" w:hAnsi="宋体"/>
          <w:color w:val="auto"/>
          <w:highlight w:val="none"/>
        </w:rPr>
        <w:t>开标时需查验的证件或证明材料原件</w:t>
      </w:r>
    </w:p>
    <w:p>
      <w:pPr>
        <w:spacing w:line="360" w:lineRule="auto"/>
        <w:ind w:firstLine="480" w:firstLineChars="200"/>
        <w:rPr>
          <w:rFonts w:ascii="宋体" w:hAnsi="宋体"/>
          <w:b/>
          <w:color w:val="auto"/>
          <w:highlight w:val="none"/>
        </w:rPr>
      </w:pPr>
      <w:r>
        <w:rPr>
          <w:rFonts w:hint="eastAsia" w:ascii="宋体" w:hAnsi="宋体"/>
          <w:color w:val="auto"/>
          <w:highlight w:val="none"/>
        </w:rPr>
        <w:t>各投标单位代表[法定代表人凭法定代表人身份证明及本人第二代身份证原件或授权委托代理人凭法定代表人身份证明、授权委托书、本人第二代身份证原件。以上资料必须在开启投标文件前验证，否则按废标处理]携带密封的</w:t>
      </w:r>
      <w:r>
        <w:rPr>
          <w:rFonts w:hint="eastAsia" w:ascii="宋体" w:hAnsi="宋体"/>
          <w:b/>
          <w:color w:val="auto"/>
          <w:highlight w:val="none"/>
        </w:rPr>
        <w:t>投标文件</w:t>
      </w:r>
      <w:r>
        <w:rPr>
          <w:rFonts w:hint="eastAsia" w:ascii="宋体" w:hAnsi="宋体"/>
          <w:color w:val="auto"/>
          <w:highlight w:val="none"/>
        </w:rPr>
        <w:t>参加开标评标会，投标文件于开标会议现场递交。</w:t>
      </w:r>
    </w:p>
    <w:p>
      <w:pPr>
        <w:spacing w:line="360" w:lineRule="auto"/>
        <w:rPr>
          <w:rFonts w:ascii="宋体" w:hAnsi="宋体"/>
          <w:b/>
          <w:color w:val="auto"/>
          <w:highlight w:val="none"/>
        </w:rPr>
      </w:pPr>
      <w:bookmarkStart w:id="28" w:name="_Toc45126833"/>
      <w:r>
        <w:rPr>
          <w:rFonts w:hint="eastAsia" w:ascii="宋体" w:hAnsi="宋体"/>
          <w:b/>
          <w:color w:val="auto"/>
          <w:highlight w:val="none"/>
        </w:rPr>
        <w:t>6.评标</w:t>
      </w:r>
      <w:bookmarkEnd w:id="28"/>
    </w:p>
    <w:p>
      <w:pPr>
        <w:spacing w:line="360" w:lineRule="auto"/>
        <w:rPr>
          <w:rFonts w:ascii="宋体" w:hAnsi="宋体"/>
          <w:color w:val="auto"/>
          <w:highlight w:val="none"/>
        </w:rPr>
      </w:pPr>
      <w:r>
        <w:rPr>
          <w:rFonts w:hint="eastAsia" w:ascii="宋体" w:hAnsi="宋体"/>
          <w:color w:val="auto"/>
          <w:highlight w:val="none"/>
        </w:rPr>
        <w:t>6.1 评标委员会</w:t>
      </w:r>
    </w:p>
    <w:p>
      <w:pPr>
        <w:spacing w:line="360" w:lineRule="auto"/>
        <w:rPr>
          <w:rFonts w:ascii="宋体" w:hAnsi="宋体"/>
          <w:color w:val="auto"/>
          <w:highlight w:val="none"/>
        </w:rPr>
      </w:pPr>
      <w:r>
        <w:rPr>
          <w:rFonts w:hint="eastAsia" w:ascii="宋体" w:hAnsi="宋体"/>
          <w:color w:val="auto"/>
          <w:highlight w:val="none"/>
        </w:rPr>
        <w:t>6.1.1 评标工作由招标人依法组建的评标委员会负责。有关技术、商务专家须在专家库抽取，评标委员会成员人数以及技术、商务等方面专家的确定方式见投标人须知前附表。</w:t>
      </w:r>
    </w:p>
    <w:p>
      <w:pPr>
        <w:spacing w:line="360" w:lineRule="auto"/>
        <w:rPr>
          <w:rFonts w:ascii="宋体" w:hAnsi="宋体"/>
          <w:color w:val="auto"/>
          <w:highlight w:val="none"/>
        </w:rPr>
      </w:pPr>
      <w:r>
        <w:rPr>
          <w:rFonts w:hint="eastAsia" w:ascii="宋体" w:hAnsi="宋体"/>
          <w:color w:val="auto"/>
          <w:highlight w:val="none"/>
        </w:rPr>
        <w:t>6.1.2 评标委员会成员有下列情形之一的，应当回避：</w:t>
      </w:r>
    </w:p>
    <w:p>
      <w:pPr>
        <w:spacing w:line="360" w:lineRule="auto"/>
        <w:rPr>
          <w:rFonts w:ascii="宋体" w:hAnsi="宋体"/>
          <w:color w:val="auto"/>
          <w:highlight w:val="none"/>
        </w:rPr>
      </w:pPr>
      <w:r>
        <w:rPr>
          <w:rFonts w:hint="eastAsia" w:ascii="宋体" w:hAnsi="宋体"/>
          <w:color w:val="auto"/>
          <w:highlight w:val="none"/>
        </w:rPr>
        <w:t>(1）投标人或投标人的主要负责人的近亲属；</w:t>
      </w:r>
    </w:p>
    <w:p>
      <w:pPr>
        <w:spacing w:line="360" w:lineRule="auto"/>
        <w:rPr>
          <w:rFonts w:ascii="宋体" w:hAnsi="宋体"/>
          <w:color w:val="auto"/>
          <w:highlight w:val="none"/>
        </w:rPr>
      </w:pPr>
      <w:r>
        <w:rPr>
          <w:rFonts w:hint="eastAsia" w:ascii="宋体" w:hAnsi="宋体"/>
          <w:color w:val="auto"/>
          <w:highlight w:val="none"/>
        </w:rPr>
        <w:t>(2）项目主管部门或者行政监督部门的人员：</w:t>
      </w:r>
    </w:p>
    <w:p>
      <w:pPr>
        <w:spacing w:line="360" w:lineRule="auto"/>
        <w:rPr>
          <w:rFonts w:ascii="宋体" w:hAnsi="宋体"/>
          <w:color w:val="auto"/>
          <w:highlight w:val="none"/>
        </w:rPr>
      </w:pPr>
      <w:r>
        <w:rPr>
          <w:rFonts w:hint="eastAsia" w:ascii="宋体" w:hAnsi="宋体"/>
          <w:color w:val="auto"/>
          <w:highlight w:val="none"/>
        </w:rPr>
        <w:t>(3）与投标人有商务利益关系，可能影响对投标公正评审的；</w:t>
      </w:r>
    </w:p>
    <w:p>
      <w:pPr>
        <w:spacing w:line="360" w:lineRule="auto"/>
        <w:rPr>
          <w:rFonts w:ascii="宋体" w:hAnsi="宋体"/>
          <w:color w:val="auto"/>
          <w:highlight w:val="none"/>
        </w:rPr>
      </w:pPr>
      <w:r>
        <w:rPr>
          <w:rFonts w:hint="eastAsia" w:ascii="宋体" w:hAnsi="宋体"/>
          <w:color w:val="auto"/>
          <w:highlight w:val="none"/>
        </w:rPr>
        <w:t>(4）曾因在招标、评标以及其他与招标投标有关活动中从事违法行为而受过行政处罚或刑事处罚的。</w:t>
      </w:r>
    </w:p>
    <w:p>
      <w:pPr>
        <w:spacing w:line="360" w:lineRule="auto"/>
        <w:rPr>
          <w:rFonts w:ascii="宋体" w:hAnsi="宋体"/>
          <w:color w:val="auto"/>
          <w:highlight w:val="none"/>
        </w:rPr>
      </w:pPr>
      <w:r>
        <w:rPr>
          <w:rFonts w:hint="eastAsia" w:ascii="宋体" w:hAnsi="宋体"/>
          <w:color w:val="auto"/>
          <w:highlight w:val="none"/>
        </w:rPr>
        <w:t>6.2 评标原则</w:t>
      </w:r>
    </w:p>
    <w:p>
      <w:pPr>
        <w:spacing w:line="360" w:lineRule="auto"/>
        <w:rPr>
          <w:rFonts w:ascii="宋体" w:hAnsi="宋体"/>
          <w:color w:val="auto"/>
          <w:highlight w:val="none"/>
        </w:rPr>
      </w:pPr>
      <w:r>
        <w:rPr>
          <w:rFonts w:hint="eastAsia" w:ascii="宋体" w:hAnsi="宋体"/>
          <w:color w:val="auto"/>
          <w:highlight w:val="none"/>
        </w:rPr>
        <w:t xml:space="preserve">    评标活动遵循公平、公正、科学和择优的原则。</w:t>
      </w:r>
    </w:p>
    <w:p>
      <w:pPr>
        <w:spacing w:line="360" w:lineRule="auto"/>
        <w:rPr>
          <w:rFonts w:ascii="宋体" w:hAnsi="宋体"/>
          <w:color w:val="auto"/>
          <w:highlight w:val="none"/>
        </w:rPr>
      </w:pPr>
      <w:r>
        <w:rPr>
          <w:rFonts w:hint="eastAsia" w:ascii="宋体" w:hAnsi="宋体"/>
          <w:color w:val="auto"/>
          <w:highlight w:val="none"/>
        </w:rPr>
        <w:t>6.3 评标</w:t>
      </w:r>
    </w:p>
    <w:p>
      <w:pPr>
        <w:spacing w:line="360" w:lineRule="auto"/>
        <w:ind w:firstLine="480" w:firstLineChars="200"/>
        <w:rPr>
          <w:rFonts w:ascii="宋体" w:hAnsi="宋体"/>
          <w:color w:val="auto"/>
          <w:highlight w:val="none"/>
        </w:rPr>
      </w:pPr>
      <w:r>
        <w:rPr>
          <w:rFonts w:hint="eastAsia" w:ascii="宋体" w:hAnsi="宋体"/>
          <w:color w:val="auto"/>
          <w:highlight w:val="none"/>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color w:val="auto"/>
          <w:highlight w:val="none"/>
        </w:rPr>
      </w:pPr>
      <w:bookmarkStart w:id="29" w:name="_Toc184635077"/>
      <w:r>
        <w:rPr>
          <w:rFonts w:hint="eastAsia" w:ascii="宋体" w:hAnsi="宋体"/>
          <w:color w:val="auto"/>
          <w:highlight w:val="none"/>
        </w:rPr>
        <w:t>7．合同授予</w:t>
      </w:r>
      <w:bookmarkEnd w:id="29"/>
    </w:p>
    <w:p>
      <w:pPr>
        <w:spacing w:line="360" w:lineRule="auto"/>
        <w:rPr>
          <w:rFonts w:ascii="宋体" w:hAnsi="宋体"/>
          <w:color w:val="auto"/>
          <w:highlight w:val="none"/>
        </w:rPr>
      </w:pPr>
      <w:r>
        <w:rPr>
          <w:rFonts w:hint="eastAsia" w:ascii="宋体" w:hAnsi="宋体"/>
          <w:color w:val="auto"/>
          <w:highlight w:val="none"/>
        </w:rPr>
        <w:t>7.1 定标方式</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除投标人须知前附表规定评标委员会直接确定中标人外，招标人依据评标委员会推荐的中标候选人确定中标人，评标委员会推荐中标候选人的人数见投标人须知前附表。定标方式详见第三章评标办法。</w:t>
      </w:r>
    </w:p>
    <w:p>
      <w:pPr>
        <w:spacing w:line="360" w:lineRule="auto"/>
        <w:rPr>
          <w:rFonts w:ascii="宋体" w:hAnsi="宋体"/>
          <w:color w:val="auto"/>
          <w:highlight w:val="none"/>
        </w:rPr>
      </w:pPr>
      <w:r>
        <w:rPr>
          <w:rFonts w:hint="eastAsia" w:ascii="宋体" w:hAnsi="宋体"/>
          <w:color w:val="auto"/>
          <w:highlight w:val="none"/>
        </w:rPr>
        <w:t>7.2 中标通知</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评标结果在评标结束后统一</w:t>
      </w:r>
      <w:r>
        <w:rPr>
          <w:rFonts w:hint="eastAsia" w:ascii="宋体" w:hAnsi="宋体"/>
          <w:color w:val="auto"/>
          <w:highlight w:val="none"/>
        </w:rPr>
        <w:t>在招标代理机构网站、村务公开栏</w:t>
      </w:r>
      <w:r>
        <w:rPr>
          <w:rFonts w:hint="eastAsia" w:ascii="宋体" w:hAnsi="宋体"/>
          <w:color w:val="auto"/>
          <w:szCs w:val="21"/>
          <w:highlight w:val="none"/>
        </w:rPr>
        <w:t>上公告，该公告等同于告知中标人及未中标人，招标人不再另行发出《中标结果通知书》，请投标人及时查看。在本章第3.2 款规定的投标有效期内，招标人以书面形式向中标人发出中标通知书。</w:t>
      </w:r>
    </w:p>
    <w:p>
      <w:pPr>
        <w:spacing w:line="360" w:lineRule="auto"/>
        <w:rPr>
          <w:rFonts w:ascii="宋体" w:hAnsi="宋体"/>
          <w:color w:val="auto"/>
          <w:highlight w:val="none"/>
        </w:rPr>
      </w:pPr>
      <w:r>
        <w:rPr>
          <w:rFonts w:hint="eastAsia" w:ascii="宋体" w:hAnsi="宋体"/>
          <w:color w:val="auto"/>
          <w:highlight w:val="none"/>
        </w:rPr>
        <w:t>7.3 履约担保</w:t>
      </w:r>
      <w:r>
        <w:rPr>
          <w:rFonts w:hint="eastAsia" w:ascii="宋体" w:hAnsi="宋体"/>
          <w:color w:val="auto"/>
          <w:highlight w:val="none"/>
        </w:rPr>
        <w:t>（本项目不适用）</w:t>
      </w:r>
    </w:p>
    <w:p>
      <w:pPr>
        <w:spacing w:line="360" w:lineRule="auto"/>
        <w:rPr>
          <w:rFonts w:ascii="宋体" w:hAnsi="宋体"/>
          <w:color w:val="auto"/>
          <w:szCs w:val="21"/>
          <w:highlight w:val="none"/>
        </w:rPr>
      </w:pPr>
      <w:r>
        <w:rPr>
          <w:rFonts w:hint="eastAsia" w:ascii="宋体" w:hAnsi="宋体"/>
          <w:color w:val="auto"/>
          <w:szCs w:val="21"/>
          <w:highlight w:val="none"/>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rPr>
          <w:rFonts w:ascii="宋体" w:hAnsi="宋体"/>
          <w:color w:val="auto"/>
          <w:szCs w:val="21"/>
          <w:highlight w:val="none"/>
        </w:rPr>
      </w:pPr>
      <w:r>
        <w:rPr>
          <w:rFonts w:hint="eastAsia" w:ascii="宋体" w:hAnsi="宋体"/>
          <w:color w:val="auto"/>
          <w:szCs w:val="21"/>
          <w:highlight w:val="none"/>
        </w:rPr>
        <w:t>7.3.2 中标人不能按本章第7.3.1 项要求提交履约担保的，视为放弃中标，其投标保证金不予退还，给招标人造成的损失超过投标保证金数额的，中标人还应当对超过部分予以赔偿。</w:t>
      </w:r>
    </w:p>
    <w:p>
      <w:pPr>
        <w:spacing w:line="360" w:lineRule="auto"/>
        <w:rPr>
          <w:rFonts w:ascii="宋体" w:hAnsi="宋体"/>
          <w:color w:val="auto"/>
          <w:szCs w:val="21"/>
          <w:highlight w:val="none"/>
        </w:rPr>
      </w:pPr>
      <w:r>
        <w:rPr>
          <w:rFonts w:hint="eastAsia" w:ascii="宋体" w:hAnsi="宋体"/>
          <w:color w:val="auto"/>
          <w:szCs w:val="21"/>
          <w:highlight w:val="none"/>
        </w:rPr>
        <w:t>7.3.3招标人要求中标人提供履约保证金或者其他形式履约担保的，招标人应当同时向中标人提供工程款支付担保。</w:t>
      </w:r>
    </w:p>
    <w:p>
      <w:pPr>
        <w:spacing w:line="360" w:lineRule="auto"/>
        <w:rPr>
          <w:rFonts w:ascii="宋体" w:hAnsi="宋体"/>
          <w:color w:val="auto"/>
          <w:highlight w:val="none"/>
        </w:rPr>
      </w:pPr>
      <w:r>
        <w:rPr>
          <w:rFonts w:hint="eastAsia" w:ascii="宋体" w:hAnsi="宋体"/>
          <w:color w:val="auto"/>
          <w:highlight w:val="none"/>
        </w:rPr>
        <w:t>7.4 签订合同</w:t>
      </w:r>
    </w:p>
    <w:p>
      <w:pPr>
        <w:spacing w:line="360" w:lineRule="auto"/>
        <w:rPr>
          <w:rFonts w:ascii="宋体" w:hAnsi="宋体"/>
          <w:color w:val="auto"/>
          <w:szCs w:val="21"/>
          <w:highlight w:val="none"/>
        </w:rPr>
      </w:pPr>
      <w:r>
        <w:rPr>
          <w:rFonts w:hint="eastAsia" w:ascii="宋体" w:hAnsi="宋体"/>
          <w:color w:val="auto"/>
          <w:szCs w:val="21"/>
          <w:highlight w:val="none"/>
        </w:rPr>
        <w:t>7.4.1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rPr>
          <w:rFonts w:ascii="宋体" w:hAnsi="宋体"/>
          <w:color w:val="auto"/>
          <w:szCs w:val="21"/>
          <w:highlight w:val="none"/>
        </w:rPr>
      </w:pPr>
      <w:r>
        <w:rPr>
          <w:rFonts w:hint="eastAsia" w:ascii="宋体" w:hAnsi="宋体"/>
          <w:color w:val="auto"/>
          <w:szCs w:val="21"/>
          <w:highlight w:val="none"/>
        </w:rPr>
        <w:t>7.4.2 发出中标通知书后，招标人无正当理由拒签合同的，招标人向中标人退还双倍投标保证金；给中标人造成损失的，还应当赔偿损失。</w:t>
      </w:r>
    </w:p>
    <w:p>
      <w:pPr>
        <w:spacing w:line="360" w:lineRule="auto"/>
        <w:rPr>
          <w:rFonts w:ascii="宋体" w:hAnsi="宋体" w:cs="Arial Unicode MS"/>
          <w:color w:val="auto"/>
          <w:szCs w:val="21"/>
          <w:highlight w:val="none"/>
        </w:rPr>
      </w:pPr>
      <w:r>
        <w:rPr>
          <w:rFonts w:hint="eastAsia" w:ascii="宋体" w:hAnsi="宋体"/>
          <w:color w:val="auto"/>
          <w:szCs w:val="21"/>
          <w:highlight w:val="none"/>
        </w:rPr>
        <w:t>8.招标文件的解释权归招标人所有</w:t>
      </w:r>
    </w:p>
    <w:p>
      <w:pPr>
        <w:spacing w:line="360" w:lineRule="auto"/>
        <w:rPr>
          <w:rFonts w:ascii="宋体" w:hAnsi="宋体"/>
          <w:color w:val="auto"/>
          <w:highlight w:val="none"/>
        </w:rPr>
      </w:pPr>
      <w:r>
        <w:rPr>
          <w:rFonts w:hint="eastAsia" w:ascii="宋体" w:hAnsi="宋体" w:cs="Arial Unicode MS"/>
          <w:b/>
          <w:color w:val="auto"/>
          <w:szCs w:val="21"/>
          <w:highlight w:val="none"/>
        </w:rPr>
        <w:t xml:space="preserve">    </w:t>
      </w:r>
      <w:r>
        <w:rPr>
          <w:rFonts w:hint="eastAsia" w:ascii="宋体" w:hAnsi="宋体"/>
          <w:color w:val="auto"/>
          <w:szCs w:val="21"/>
          <w:highlight w:val="none"/>
        </w:rPr>
        <w:t>在评标过程中，如果评标委员会认为招标文件存在不清晰、不明确等影响评标结果的问题，评标委员会应当立即以书面形式（书面资料由全体评标委员会签名确认）向招标人提出，招标人应在收到书面资料后、评标完成之前以书面形式加盖公章回复评标委员会。</w:t>
      </w:r>
    </w:p>
    <w:p>
      <w:pPr>
        <w:spacing w:line="360" w:lineRule="auto"/>
        <w:rPr>
          <w:rFonts w:ascii="宋体" w:hAnsi="宋体"/>
          <w:b/>
          <w:color w:val="auto"/>
          <w:szCs w:val="21"/>
          <w:highlight w:val="none"/>
        </w:rPr>
      </w:pPr>
      <w:r>
        <w:rPr>
          <w:rFonts w:hint="eastAsia" w:ascii="宋体" w:hAnsi="宋体"/>
          <w:b/>
          <w:color w:val="auto"/>
          <w:szCs w:val="21"/>
          <w:highlight w:val="none"/>
        </w:rPr>
        <w:t>9. 需要补充的其他内容</w:t>
      </w:r>
    </w:p>
    <w:p>
      <w:pPr>
        <w:spacing w:line="360" w:lineRule="auto"/>
        <w:rPr>
          <w:rFonts w:ascii="宋体" w:hAnsi="宋体"/>
          <w:b/>
          <w:color w:val="auto"/>
          <w:szCs w:val="21"/>
          <w:highlight w:val="none"/>
        </w:rPr>
      </w:pPr>
      <w:r>
        <w:rPr>
          <w:rFonts w:hint="eastAsia" w:ascii="宋体" w:hAnsi="宋体"/>
          <w:b/>
          <w:color w:val="auto"/>
          <w:szCs w:val="21"/>
          <w:highlight w:val="none"/>
        </w:rPr>
        <w:t>9.1投标报价上限价及绿色施工安全防护措施费</w:t>
      </w:r>
    </w:p>
    <w:p>
      <w:pPr>
        <w:spacing w:line="360" w:lineRule="auto"/>
        <w:ind w:firstLine="480" w:firstLineChars="200"/>
        <w:rPr>
          <w:rFonts w:hint="eastAsia" w:ascii="宋体" w:hAnsi="宋体"/>
          <w:color w:val="auto"/>
          <w:szCs w:val="21"/>
          <w:highlight w:val="none"/>
          <w:u w:val="single"/>
        </w:rPr>
      </w:pPr>
      <w:r>
        <w:rPr>
          <w:rFonts w:hint="eastAsia" w:ascii="宋体" w:hAnsi="宋体"/>
          <w:color w:val="auto"/>
          <w:szCs w:val="21"/>
          <w:highlight w:val="none"/>
          <w:u w:val="single"/>
        </w:rPr>
        <w:t>本工程以中介预算价下浮8%作为投标报价上限价，即投标报价上限价=¥834,786.71元×（1-8%）=¥768,003.77元。</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u w:val="single"/>
        </w:rPr>
        <w:t>本工程绿色施工安全防护措施费为：¥15259.69元（税前）</w:t>
      </w:r>
      <w:r>
        <w:rPr>
          <w:rFonts w:hint="eastAsia" w:ascii="宋体" w:hAnsi="宋体"/>
          <w:color w:val="auto"/>
          <w:szCs w:val="21"/>
          <w:highlight w:val="none"/>
        </w:rPr>
        <w:t>，投标报价超出投标报价上限价的或绿色施工安全防护措施费小于本工程招标控制价中绿色施工安全防护措施费的作废标处理。</w:t>
      </w:r>
    </w:p>
    <w:p>
      <w:pPr>
        <w:spacing w:line="360" w:lineRule="auto"/>
        <w:rPr>
          <w:rFonts w:ascii="宋体" w:hAnsi="宋体"/>
          <w:b/>
          <w:color w:val="auto"/>
          <w:szCs w:val="21"/>
          <w:highlight w:val="none"/>
        </w:rPr>
      </w:pPr>
      <w:r>
        <w:rPr>
          <w:rFonts w:hint="eastAsia" w:ascii="宋体" w:hAnsi="宋体"/>
          <w:b/>
          <w:color w:val="auto"/>
          <w:szCs w:val="21"/>
          <w:highlight w:val="none"/>
        </w:rPr>
        <w:t>9.2招标控制价和承包标准</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）工程量清单按</w:t>
      </w:r>
      <w:r>
        <w:rPr>
          <w:rFonts w:hint="eastAsia" w:ascii="宋体" w:hAnsi="宋体"/>
          <w:color w:val="auto"/>
          <w:szCs w:val="21"/>
          <w:highlight w:val="none"/>
        </w:rPr>
        <w:t>有关工程量清单计价规范、工程量计算规范的国家标准及省、市建设主管部门的相关规定进行</w:t>
      </w:r>
      <w:r>
        <w:rPr>
          <w:rFonts w:hint="eastAsia" w:ascii="宋体" w:hAnsi="宋体"/>
          <w:color w:val="auto"/>
          <w:highlight w:val="none"/>
        </w:rPr>
        <w:t>编制</w:t>
      </w:r>
      <w:r>
        <w:rPr>
          <w:rFonts w:hint="eastAsia" w:ascii="宋体" w:hAnsi="宋体"/>
          <w:color w:val="auto"/>
          <w:szCs w:val="21"/>
          <w:highlight w:val="none"/>
        </w:rPr>
        <w:t>。</w:t>
      </w:r>
      <w:r>
        <w:rPr>
          <w:rFonts w:hint="eastAsia" w:ascii="宋体" w:hAnsi="宋体"/>
          <w:bCs/>
          <w:color w:val="auto"/>
          <w:highlight w:val="none"/>
        </w:rPr>
        <w:t>工程量清单应与投标人须知、合同通用条款、合同专用条款、技术规范、技术要求、图纸等文件及结合起来理解或解释。</w:t>
      </w:r>
    </w:p>
    <w:p>
      <w:pPr>
        <w:spacing w:line="360" w:lineRule="auto"/>
        <w:rPr>
          <w:rFonts w:ascii="宋体" w:hAnsi="宋体"/>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w:t>
      </w:r>
      <w:r>
        <w:rPr>
          <w:rFonts w:hint="eastAsia" w:ascii="宋体" w:hAnsi="宋体"/>
          <w:color w:val="auto"/>
          <w:highlight w:val="none"/>
        </w:rPr>
        <w:t>招标人根据全套施工设计图纸，按照招标文件的有关规定，编制招标控制价。招标控制价材料价格</w:t>
      </w:r>
      <w:r>
        <w:rPr>
          <w:rFonts w:hint="eastAsia" w:ascii="宋体" w:hAnsi="宋体"/>
          <w:color w:val="auto"/>
          <w:highlight w:val="none"/>
          <w:u w:val="single"/>
        </w:rPr>
        <w:t>中山市建设工程造价事务中心公布的2021年9月份材料价格信息计算，中山市材料价格信息中没有的材料参照周边城市公布的材料价格信息计算，或采用供应商相关报价及市场询价计算</w:t>
      </w:r>
      <w:r>
        <w:rPr>
          <w:rFonts w:hint="eastAsia"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投标人应核对全部工程量清单（或调整后工程量清单）、图纸项目和招标范围说明，如果认为工程量清单存在项目特征描述不符、错漏或误差，或对施工图设计文件有疑问的，应在答疑会前规定时间内向招标人提出书面意见（书面意见中必须提供具体、完整的的工程量计算式），招标人于答疑会统一书面回复，招标人据实调整并重新发布工程量清单和调整招标控制价。若投标人对调整后工程量清单有异议，应在答疑提问截止前向招标人提出书面意见（书面意见中必须提供具体、完整的的工程量计算式），招标人统一书面回复。</w:t>
      </w:r>
    </w:p>
    <w:p>
      <w:pPr>
        <w:spacing w:line="360" w:lineRule="auto"/>
        <w:rPr>
          <w:rFonts w:ascii="宋体" w:hAnsi="宋体"/>
          <w:color w:val="auto"/>
          <w:highlight w:val="none"/>
        </w:rPr>
      </w:pPr>
      <w:r>
        <w:rPr>
          <w:rFonts w:hint="eastAsia" w:ascii="宋体" w:hAnsi="宋体"/>
          <w:color w:val="auto"/>
          <w:highlight w:val="none"/>
        </w:rPr>
        <w:t>投标人按工程量清单（或调整后工程量清单）报价，中标后按招标图纸（招标范围内项目）施工。除了因不可预见、招标人原因、设计修改、材料或人工单价调整按财政局文件执行等特别说明的原因或其他招标人特别同意等因素可以调整价格外，报价不予调整。</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投标人的投标价，应是完成本项目招标范围内的全部工程的投标总报价。投标人应认真填写工程量清单中所列明的所有需要填写综合单价和合价的项目，且只允许有一个报价。投标人没有填入综合单价和合价的项目，招标人将不予支付，并认为该费用已包括在工程量清单中其他项目的综合单价和合价中。</w:t>
      </w:r>
    </w:p>
    <w:p>
      <w:pPr>
        <w:spacing w:line="360" w:lineRule="auto"/>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5</w:t>
      </w:r>
      <w:r>
        <w:rPr>
          <w:rFonts w:hint="eastAsia" w:ascii="宋体" w:hAnsi="宋体"/>
          <w:bCs/>
          <w:color w:val="auto"/>
          <w:highlight w:val="none"/>
        </w:rPr>
        <w:t>）工程量清单中所填入的综合单价为按技术规范与技术要求完成一个规定计量单位的工程所需的人工费、材料费、机具使用费、管理费、利润并考虑风险因素。按技术规范、招标文件、设计图纸、</w:t>
      </w:r>
      <w:r>
        <w:rPr>
          <w:rFonts w:hint="eastAsia" w:ascii="宋体" w:hAnsi="宋体"/>
          <w:bCs/>
          <w:color w:val="auto"/>
          <w:highlight w:val="none"/>
          <w:u w:val="single"/>
        </w:rPr>
        <w:t>计价依据执行《建设工程工程量清单计价规范(GB50500-2013)》、《广东省建设工程计价依据（2018）》</w:t>
      </w:r>
      <w:r>
        <w:rPr>
          <w:rFonts w:hint="eastAsia" w:ascii="宋体" w:hAnsi="宋体"/>
          <w:bCs/>
          <w:color w:val="auto"/>
          <w:highlight w:val="none"/>
        </w:rPr>
        <w:t>及办法等要求为完成一个规定计量单位的工程量所需的其他一切费用除非投标人在措施项目清单中列出，否则视为已被包含在工程量清单各项目综合单价中。</w:t>
      </w:r>
    </w:p>
    <w:p>
      <w:pPr>
        <w:spacing w:line="360" w:lineRule="auto"/>
        <w:ind w:firstLine="482" w:firstLineChars="200"/>
        <w:rPr>
          <w:rFonts w:ascii="宋体" w:hAnsi="宋体"/>
          <w:b/>
          <w:color w:val="auto"/>
          <w:highlight w:val="none"/>
        </w:rPr>
      </w:pPr>
      <w:r>
        <w:rPr>
          <w:rFonts w:hint="eastAsia" w:ascii="宋体" w:hAnsi="宋体"/>
          <w:b/>
          <w:bCs/>
          <w:color w:val="auto"/>
          <w:highlight w:val="none"/>
        </w:rPr>
        <w:t>提示</w:t>
      </w:r>
      <w:r>
        <w:rPr>
          <w:rFonts w:hint="eastAsia" w:ascii="宋体" w:hAnsi="宋体"/>
          <w:b/>
          <w:color w:val="auto"/>
          <w:highlight w:val="none"/>
        </w:rPr>
        <w:t>：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）承包人因承包本项目需缴纳的一切税费均由承包人承担，并包含在所报的单价或总价中。</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本工程为固定总价合同，实行总价包干。投标人应按照施工图及招标文件有关工期、质量、文明施工、安全等的要求，按照答疑会后公布的中介机构编制的该工程招标控制价（或工程量清单），并根据招标项目的特点，结合市场情况和企业自身竞争能力自行确定投标报价。投标人的报价将被视为投标人完全理解了工程量清单和施工图纸中的全部项目、数量及内容。中标后，中标人在工程实施过程中发现实际施工完成量（不含非承包人原因引起的工程变更）与工程量清单存在差异时，差异部分不作调整。工程变更按本节（13）有关条款执行。投标人应结合现场施工条件，将工程的所有临时设施（如施工工棚、施工排水、施工通道等）、场地租用、保险费、税、停水、停电以及排除影响施工的各类障碍等考虑在投标报价中。</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）投标人投标报价时应考虑并承担一定的风险，如物价、气候、水文地质等情况变化及其他意外困难等。投标人认为必要采取的任何施工、技术施工、辅助工程、临时工程等费用须包含在投标总报价中。</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）投标人应做好对本工程周边建、构筑物等的保护工作，尤其要采取相应有效的措施做好对沿线埋设管线的保护，因措施不当，防护不力而引发的问题概由中标人负责，此措施等费用包含在投标总报价中。</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）本工程招标人提供的招标控制价作为投标人投标报价的文件且答疑会后招标人提供的招标控制价的实体工程量原则上不允许改动</w:t>
      </w:r>
      <w:r>
        <w:rPr>
          <w:rFonts w:ascii="宋体" w:hAnsi="宋体"/>
          <w:color w:val="auto"/>
          <w:highlight w:val="none"/>
        </w:rPr>
        <w:t>,</w:t>
      </w:r>
      <w:r>
        <w:rPr>
          <w:rFonts w:hint="eastAsia" w:ascii="宋体" w:hAnsi="宋体"/>
          <w:color w:val="auto"/>
          <w:highlight w:val="none"/>
        </w:rPr>
        <w:t>各投标人应根据招标控制价的实体工程量、施工图纸及现场情况等进行报价，一旦确定了中标人和中标价，除另有规定外，招标人将执行中标价结算。</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11</w:t>
      </w:r>
      <w:r>
        <w:rPr>
          <w:rFonts w:hint="eastAsia" w:ascii="宋体" w:hAnsi="宋体"/>
          <w:color w:val="auto"/>
          <w:highlight w:val="none"/>
        </w:rPr>
        <w:t>）投标报价范围内的工程造价除设计变更或招标文件、招标答疑中允许的调整范围以及中山市人民政府办公室文件允许的建筑主材调差外，其余不因市场价格变化而调整。在计费时，投标人应将施工风险系数等费用考虑入工程投标总报价中。</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12</w:t>
      </w:r>
      <w:r>
        <w:rPr>
          <w:rFonts w:hint="eastAsia" w:ascii="宋体" w:hAnsi="宋体"/>
          <w:color w:val="auto"/>
          <w:highlight w:val="none"/>
        </w:rPr>
        <w:t>）投标单位在投标时参考的主材品牌除满足设计、国家有关技术标准外，品质还需不低于招标控制价参考品牌。在工程实施阶段，承包人采购的主材产品，需经监理工程师及发包人审批同意方可采购。</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13</w:t>
      </w:r>
      <w:r>
        <w:rPr>
          <w:rFonts w:hint="eastAsia" w:ascii="宋体" w:hAnsi="宋体"/>
          <w:color w:val="auto"/>
          <w:highlight w:val="none"/>
        </w:rPr>
        <w:t>）设计变更及合同价款调整</w:t>
      </w:r>
    </w:p>
    <w:p>
      <w:pPr>
        <w:spacing w:line="360" w:lineRule="auto"/>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由于非承包方原因，由设计单位所作的工程修改、变更，按以下方式结算：</w:t>
      </w:r>
    </w:p>
    <w:p>
      <w:pPr>
        <w:pStyle w:val="63"/>
        <w:widowControl w:val="0"/>
        <w:numPr>
          <w:ilvl w:val="0"/>
          <w:numId w:val="10"/>
        </w:numPr>
        <w:spacing w:line="360" w:lineRule="auto"/>
        <w:ind w:left="0" w:firstLine="0" w:firstLineChars="0"/>
        <w:jc w:val="both"/>
        <w:rPr>
          <w:rFonts w:ascii="宋体" w:hAnsi="宋体"/>
          <w:color w:val="auto"/>
          <w:highlight w:val="none"/>
        </w:rPr>
      </w:pPr>
      <w:r>
        <w:rPr>
          <w:rFonts w:hint="eastAsia" w:ascii="宋体" w:hAnsi="宋体"/>
          <w:color w:val="auto"/>
          <w:highlight w:val="none"/>
        </w:rPr>
        <w:t>合同中已有使用于变更工程的单价，按合同已有的单价变更合同价款。</w:t>
      </w:r>
    </w:p>
    <w:p>
      <w:pPr>
        <w:pStyle w:val="63"/>
        <w:widowControl w:val="0"/>
        <w:numPr>
          <w:ilvl w:val="0"/>
          <w:numId w:val="10"/>
        </w:numPr>
        <w:spacing w:line="360" w:lineRule="auto"/>
        <w:ind w:left="0" w:firstLine="0" w:firstLineChars="0"/>
        <w:jc w:val="both"/>
        <w:rPr>
          <w:rFonts w:ascii="宋体" w:hAnsi="宋体"/>
          <w:color w:val="auto"/>
          <w:highlight w:val="none"/>
        </w:rPr>
      </w:pPr>
      <w:r>
        <w:rPr>
          <w:rFonts w:hint="eastAsia" w:ascii="宋体" w:hAnsi="宋体"/>
          <w:color w:val="auto"/>
          <w:highlight w:val="none"/>
        </w:rPr>
        <w:t>合同中已有类似于变更工程的单价，可参照类似单价变更合同价款。</w:t>
      </w:r>
    </w:p>
    <w:p>
      <w:pPr>
        <w:pStyle w:val="63"/>
        <w:spacing w:line="360" w:lineRule="auto"/>
        <w:ind w:firstLine="0" w:firstLineChars="0"/>
        <w:rPr>
          <w:rFonts w:ascii="宋体" w:hAnsi="宋体"/>
          <w:color w:val="auto"/>
          <w:highlight w:val="none"/>
        </w:rPr>
      </w:pPr>
      <w:r>
        <w:rPr>
          <w:rFonts w:ascii="宋体" w:hAnsi="宋体"/>
          <w:color w:val="auto"/>
          <w:highlight w:val="none"/>
        </w:rPr>
        <w:t>3</w:t>
      </w:r>
      <w:r>
        <w:rPr>
          <w:rFonts w:hint="eastAsia" w:ascii="宋体" w:hAnsi="宋体"/>
          <w:color w:val="auto"/>
          <w:highlight w:val="none"/>
        </w:rPr>
        <w:t>）合同中没有使用或类似变更工程的单价，按照广东省建设工程计价依据、工程所在地造价管理机构有关规定和发布的价格信息，依据工程变更签证，由承包方提出适当的变更价格，按本招标说明的规定作出预算经财政局审核后结算；结算单价按中标价与招标控制价的相应比例折算执行。变更、修改设计的工程内容施工单位不得拒绝承担，所增减工程的工程量不超过中标工程量的</w:t>
      </w:r>
      <w:r>
        <w:rPr>
          <w:rFonts w:ascii="宋体" w:hAnsi="宋体"/>
          <w:color w:val="auto"/>
          <w:highlight w:val="none"/>
        </w:rPr>
        <w:t>10%</w:t>
      </w:r>
      <w:r>
        <w:rPr>
          <w:rFonts w:hint="eastAsia" w:ascii="宋体" w:hAnsi="宋体"/>
          <w:color w:val="auto"/>
          <w:highlight w:val="none"/>
        </w:rPr>
        <w:t>，工期不作调整。如因设计、规划调整变更等原因，招标人有权调整招标范围和内容。</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14</w:t>
      </w:r>
      <w:r>
        <w:rPr>
          <w:rFonts w:hint="eastAsia" w:ascii="宋体" w:hAnsi="宋体"/>
          <w:color w:val="auto"/>
          <w:highlight w:val="none"/>
        </w:rPr>
        <w:t>）竣工验收及移交</w:t>
      </w:r>
    </w:p>
    <w:p>
      <w:pPr>
        <w:spacing w:line="360" w:lineRule="auto"/>
        <w:ind w:firstLine="480" w:firstLineChars="200"/>
        <w:rPr>
          <w:rFonts w:ascii="宋体" w:hAnsi="宋体"/>
          <w:color w:val="auto"/>
          <w:highlight w:val="none"/>
        </w:rPr>
      </w:pPr>
      <w:r>
        <w:rPr>
          <w:rFonts w:hint="eastAsia" w:ascii="宋体" w:hAnsi="宋体"/>
          <w:color w:val="auto"/>
          <w:highlight w:val="none"/>
        </w:rPr>
        <w:t>承包单位按相关专业部门的要求，编制竣工技术文件，并在向招标人提供竣工报告的同时一起移交，工程竣工验收报告经招标人认可后</w:t>
      </w:r>
      <w:r>
        <w:rPr>
          <w:rFonts w:ascii="宋体" w:hAnsi="宋体"/>
          <w:color w:val="auto"/>
          <w:highlight w:val="none"/>
        </w:rPr>
        <w:t>28</w:t>
      </w:r>
      <w:r>
        <w:rPr>
          <w:rFonts w:hint="eastAsia" w:ascii="宋体" w:hAnsi="宋体"/>
          <w:color w:val="auto"/>
          <w:highlight w:val="none"/>
        </w:rPr>
        <w:t>天内，承包单位按有关要求向招标人递交竣工结算报告及完整的结算资料，双方按照协议书约定的合同价款及专用条款约定的合同价款调整内容，进行工程竣工结算。</w:t>
      </w:r>
    </w:p>
    <w:p>
      <w:pPr>
        <w:spacing w:line="360" w:lineRule="auto"/>
        <w:ind w:firstLine="480" w:firstLineChars="200"/>
        <w:rPr>
          <w:rFonts w:ascii="宋体" w:hAnsi="宋体"/>
          <w:color w:val="auto"/>
          <w:highlight w:val="none"/>
        </w:rPr>
      </w:pPr>
      <w:r>
        <w:rPr>
          <w:rFonts w:hint="eastAsia" w:ascii="宋体" w:hAnsi="宋体"/>
          <w:color w:val="auto"/>
          <w:highlight w:val="none"/>
        </w:rPr>
        <w:t>本工程承包单位须按适用于本项目的要求编制相关工程技术资料；除纸质技术资料外，还须提供电子文档（包括竣工图）。</w:t>
      </w:r>
    </w:p>
    <w:p>
      <w:pPr>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15</w:t>
      </w:r>
      <w:r>
        <w:rPr>
          <w:rFonts w:hint="eastAsia" w:ascii="宋体" w:hAnsi="宋体"/>
          <w:color w:val="auto"/>
          <w:highlight w:val="none"/>
        </w:rPr>
        <w:t>）工程质量保修期及保修金</w:t>
      </w:r>
    </w:p>
    <w:p>
      <w:pPr>
        <w:spacing w:line="360" w:lineRule="auto"/>
        <w:ind w:firstLine="480" w:firstLineChars="200"/>
        <w:rPr>
          <w:rFonts w:ascii="宋体" w:hAnsi="宋体"/>
          <w:color w:val="auto"/>
          <w:highlight w:val="none"/>
        </w:rPr>
      </w:pPr>
      <w:r>
        <w:rPr>
          <w:rFonts w:hint="eastAsia" w:ascii="宋体" w:hAnsi="宋体"/>
          <w:color w:val="auto"/>
          <w:highlight w:val="none"/>
          <w:lang w:eastAsia="zh-CN"/>
        </w:rPr>
        <w:t>本项目</w:t>
      </w:r>
      <w:r>
        <w:rPr>
          <w:rFonts w:hint="eastAsia" w:ascii="宋体" w:hAnsi="宋体"/>
          <w:color w:val="auto"/>
          <w:highlight w:val="none"/>
        </w:rPr>
        <w:t>工程质量保修期</w:t>
      </w:r>
      <w:r>
        <w:rPr>
          <w:rFonts w:hint="eastAsia" w:ascii="宋体" w:hAnsi="宋体"/>
          <w:color w:val="auto"/>
          <w:highlight w:val="none"/>
          <w:lang w:eastAsia="zh-CN"/>
        </w:rPr>
        <w:t>为</w:t>
      </w:r>
      <w:r>
        <w:rPr>
          <w:rFonts w:hint="eastAsia" w:ascii="宋体" w:hAnsi="宋体"/>
          <w:color w:val="auto"/>
          <w:highlight w:val="none"/>
          <w:lang w:val="en-US" w:eastAsia="zh-CN"/>
        </w:rPr>
        <w:t>1年，</w:t>
      </w:r>
      <w:r>
        <w:rPr>
          <w:rFonts w:hint="eastAsia" w:ascii="宋体" w:hAnsi="宋体"/>
          <w:color w:val="auto"/>
          <w:highlight w:val="none"/>
        </w:rPr>
        <w:t>中标人在向招标人提交工程竣工验收报告时，向招标人出具质量保修书，如属施工质量引起的问题，由中标方全部负责并无偿保修。质量保修金的预留及支付按国家、省及本市现行规定执行。</w:t>
      </w:r>
    </w:p>
    <w:p>
      <w:pPr>
        <w:pStyle w:val="63"/>
        <w:numPr>
          <w:ilvl w:val="0"/>
          <w:numId w:val="11"/>
        </w:numPr>
        <w:spacing w:line="360" w:lineRule="auto"/>
        <w:ind w:firstLineChars="0"/>
        <w:rPr>
          <w:rFonts w:ascii="宋体" w:hAnsi="宋体"/>
          <w:color w:val="auto"/>
          <w:highlight w:val="none"/>
        </w:rPr>
      </w:pPr>
      <w:r>
        <w:rPr>
          <w:rFonts w:hint="eastAsia" w:ascii="宋体" w:hAnsi="宋体"/>
          <w:color w:val="auto"/>
          <w:highlight w:val="none"/>
        </w:rPr>
        <w:t>工程价款支付</w:t>
      </w:r>
    </w:p>
    <w:p>
      <w:pPr>
        <w:pageBreakBefore w:val="0"/>
        <w:numPr>
          <w:ilvl w:val="0"/>
          <w:numId w:val="12"/>
        </w:numPr>
        <w:tabs>
          <w:tab w:val="left" w:pos="480"/>
        </w:tabs>
        <w:kinsoku/>
        <w:wordWrap/>
        <w:overflowPunct/>
        <w:topLinePunct w:val="0"/>
        <w:autoSpaceDE/>
        <w:autoSpaceDN/>
        <w:bidi w:val="0"/>
        <w:adjustRightInd/>
        <w:snapToGrid/>
        <w:spacing w:line="360" w:lineRule="auto"/>
        <w:ind w:left="5" w:leftChars="0" w:firstLine="235" w:firstLineChars="0"/>
        <w:textAlignment w:val="auto"/>
        <w:rPr>
          <w:rFonts w:ascii="宋体" w:hAnsi="宋体"/>
          <w:color w:val="auto"/>
          <w:highlight w:val="none"/>
        </w:rPr>
      </w:pPr>
      <w:r>
        <w:rPr>
          <w:rFonts w:hint="eastAsia" w:ascii="宋体" w:hAnsi="宋体"/>
          <w:color w:val="auto"/>
          <w:highlight w:val="none"/>
          <w:lang w:eastAsia="zh-CN"/>
        </w:rPr>
        <w:t>本项目的合同款按每月实际完成工程量计算，经监理人核实，投标人提供进度证明后</w:t>
      </w:r>
      <w:r>
        <w:rPr>
          <w:rFonts w:hint="eastAsia" w:ascii="宋体" w:hAnsi="宋体"/>
          <w:color w:val="auto"/>
          <w:highlight w:val="none"/>
          <w:lang w:val="en-US" w:eastAsia="zh-CN"/>
        </w:rPr>
        <w:t>10个自然日内，招标人根据施工进度向中标人支付合同款，终验前支付金额至本合同总金额的80%，项目完成终验后10个自然日内支付至合同金额的100%</w:t>
      </w:r>
      <w:r>
        <w:rPr>
          <w:rFonts w:hint="eastAsia" w:ascii="宋体" w:hAnsi="宋体"/>
          <w:color w:val="auto"/>
          <w:highlight w:val="none"/>
        </w:rPr>
        <w:t>。</w:t>
      </w:r>
    </w:p>
    <w:p>
      <w:pPr>
        <w:pStyle w:val="2"/>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具体计算方法如下公式：</w:t>
      </w:r>
    </w:p>
    <w:p>
      <w:pPr>
        <w:pageBreakBefore w:val="0"/>
        <w:kinsoku/>
        <w:wordWrap/>
        <w:overflowPunct/>
        <w:topLinePunct w:val="0"/>
        <w:autoSpaceDE/>
        <w:autoSpaceDN/>
        <w:bidi w:val="0"/>
        <w:adjustRightInd/>
        <w:snapToGrid/>
        <w:spacing w:line="360" w:lineRule="auto"/>
        <w:ind w:left="480" w:leftChars="200" w:firstLine="0" w:firstLineChars="0"/>
        <w:textAlignment w:val="auto"/>
        <w:rPr>
          <w:rFonts w:hint="eastAsia"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终验前支付金额=合同金额*（施工验收进度*80%）</w:t>
      </w:r>
    </w:p>
    <w:p>
      <w:pPr>
        <w:pStyle w:val="2"/>
        <w:pageBreakBefore w:val="0"/>
        <w:kinsoku/>
        <w:wordWrap/>
        <w:overflowPunct/>
        <w:topLinePunct w:val="0"/>
        <w:autoSpaceDE/>
        <w:autoSpaceDN/>
        <w:bidi w:val="0"/>
        <w:adjustRightInd/>
        <w:snapToGrid/>
        <w:spacing w:line="360" w:lineRule="auto"/>
        <w:ind w:left="480" w:leftChars="200" w:firstLine="0" w:firstLineChars="0"/>
        <w:textAlignment w:val="auto"/>
        <w:rPr>
          <w:rFonts w:hint="default" w:ascii="宋体" w:hAnsi="宋体" w:eastAsia="宋体" w:cs="Times New Roman"/>
          <w:b w:val="0"/>
          <w:bCs w:val="0"/>
          <w:color w:val="auto"/>
          <w:kern w:val="0"/>
          <w:sz w:val="24"/>
          <w:szCs w:val="24"/>
          <w:highlight w:val="none"/>
          <w:lang w:val="en-US" w:eastAsia="zh-CN" w:bidi="ar-SA"/>
        </w:rPr>
      </w:pPr>
      <w:r>
        <w:rPr>
          <w:rFonts w:hint="eastAsia" w:ascii="宋体" w:hAnsi="宋体" w:eastAsia="宋体" w:cs="Times New Roman"/>
          <w:b w:val="0"/>
          <w:bCs w:val="0"/>
          <w:color w:val="auto"/>
          <w:kern w:val="0"/>
          <w:sz w:val="24"/>
          <w:szCs w:val="24"/>
          <w:highlight w:val="none"/>
          <w:lang w:val="en-US" w:eastAsia="zh-CN" w:bidi="ar-SA"/>
        </w:rPr>
        <w:t>终验后支付金额=合同金额*（施工验收进度*100%）</w:t>
      </w:r>
    </w:p>
    <w:p>
      <w:pPr>
        <w:numPr>
          <w:ilvl w:val="0"/>
          <w:numId w:val="12"/>
        </w:numPr>
        <w:tabs>
          <w:tab w:val="left" w:pos="480"/>
        </w:tabs>
        <w:spacing w:line="360" w:lineRule="auto"/>
        <w:ind w:left="5" w:leftChars="0" w:firstLine="235" w:firstLineChars="0"/>
        <w:rPr>
          <w:rFonts w:ascii="宋体" w:hAnsi="宋体"/>
          <w:color w:val="auto"/>
          <w:highlight w:val="none"/>
        </w:rPr>
      </w:pPr>
      <w:r>
        <w:rPr>
          <w:rFonts w:hint="eastAsia" w:ascii="宋体" w:hAnsi="宋体"/>
          <w:color w:val="auto"/>
          <w:highlight w:val="none"/>
        </w:rPr>
        <w:t>中标单位在每次收取工程进度款时须向建设单位出具相关税务机构的税务发票。</w:t>
      </w:r>
    </w:p>
    <w:p>
      <w:pPr>
        <w:spacing w:line="360" w:lineRule="auto"/>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17</w:t>
      </w:r>
      <w:r>
        <w:rPr>
          <w:rFonts w:hint="eastAsia" w:ascii="宋体" w:hAnsi="宋体"/>
          <w:b/>
          <w:color w:val="auto"/>
          <w:highlight w:val="none"/>
        </w:rPr>
        <w:t>）罚则</w:t>
      </w:r>
    </w:p>
    <w:p>
      <w:pPr>
        <w:numPr>
          <w:ilvl w:val="0"/>
          <w:numId w:val="13"/>
        </w:numPr>
        <w:tabs>
          <w:tab w:val="left" w:pos="480"/>
        </w:tabs>
        <w:spacing w:line="360" w:lineRule="auto"/>
        <w:ind w:left="5" w:firstLine="235"/>
        <w:rPr>
          <w:rFonts w:ascii="宋体" w:hAnsi="宋体"/>
          <w:color w:val="auto"/>
          <w:highlight w:val="none"/>
        </w:rPr>
      </w:pPr>
      <w:r>
        <w:rPr>
          <w:rFonts w:hint="eastAsia" w:ascii="宋体" w:hAnsi="宋体"/>
          <w:color w:val="auto"/>
          <w:highlight w:val="none"/>
        </w:rPr>
        <w:t>放弃中标的投标人的投标保证金均被没收，招标人将保留追究其责任的权利，并上报建设行政主管部门对其进行处罚。</w:t>
      </w:r>
    </w:p>
    <w:p>
      <w:pPr>
        <w:numPr>
          <w:ilvl w:val="0"/>
          <w:numId w:val="13"/>
        </w:numPr>
        <w:tabs>
          <w:tab w:val="left" w:pos="480"/>
        </w:tabs>
        <w:spacing w:line="360" w:lineRule="auto"/>
        <w:ind w:left="5" w:firstLine="235"/>
        <w:rPr>
          <w:rFonts w:ascii="宋体" w:hAnsi="宋体"/>
          <w:color w:val="auto"/>
          <w:highlight w:val="none"/>
        </w:rPr>
      </w:pPr>
      <w:r>
        <w:rPr>
          <w:rFonts w:hint="eastAsia" w:ascii="宋体" w:hAnsi="宋体"/>
          <w:color w:val="auto"/>
          <w:highlight w:val="none"/>
        </w:rPr>
        <w:t>因承包单位责任达不到合同工期的，</w:t>
      </w:r>
      <w:r>
        <w:rPr>
          <w:rFonts w:hint="eastAsia" w:ascii="宋体" w:hAnsi="宋体"/>
          <w:b/>
          <w:bCs/>
          <w:color w:val="auto"/>
          <w:highlight w:val="none"/>
        </w:rPr>
        <w:t>每推迟一天罚款</w:t>
      </w:r>
      <w:r>
        <w:rPr>
          <w:rFonts w:hint="eastAsia" w:ascii="宋体" w:hAnsi="宋体"/>
          <w:b/>
          <w:bCs/>
          <w:color w:val="auto"/>
          <w:highlight w:val="none"/>
          <w:u w:val="single"/>
        </w:rPr>
        <w:t>2000</w:t>
      </w:r>
      <w:r>
        <w:rPr>
          <w:rFonts w:hint="eastAsia" w:ascii="宋体" w:hAnsi="宋体"/>
          <w:b/>
          <w:bCs/>
          <w:color w:val="auto"/>
          <w:highlight w:val="none"/>
        </w:rPr>
        <w:t>元，累计罚金总额不超过结算价的10%。</w:t>
      </w:r>
    </w:p>
    <w:p>
      <w:pPr>
        <w:numPr>
          <w:ilvl w:val="0"/>
          <w:numId w:val="13"/>
        </w:numPr>
        <w:tabs>
          <w:tab w:val="left" w:pos="480"/>
        </w:tabs>
        <w:spacing w:line="360" w:lineRule="auto"/>
        <w:ind w:left="5" w:firstLine="235"/>
        <w:rPr>
          <w:rFonts w:ascii="宋体" w:hAnsi="宋体"/>
          <w:color w:val="auto"/>
          <w:highlight w:val="none"/>
        </w:rPr>
      </w:pPr>
      <w:r>
        <w:rPr>
          <w:rFonts w:hint="eastAsia" w:ascii="宋体" w:hAnsi="宋体"/>
          <w:color w:val="auto"/>
          <w:highlight w:val="none"/>
        </w:rPr>
        <w:t>对无视安全施工和文明施工要求，对建设等方所提的整改意见不见成效，按《生产安全事故报告和调查处理条例》和《广东省建设厅建筑工程安全生产动态管理办法》处罚。</w:t>
      </w:r>
    </w:p>
    <w:p>
      <w:pPr>
        <w:numPr>
          <w:ilvl w:val="0"/>
          <w:numId w:val="13"/>
        </w:numPr>
        <w:tabs>
          <w:tab w:val="left" w:pos="480"/>
        </w:tabs>
        <w:spacing w:line="360" w:lineRule="auto"/>
        <w:ind w:left="5" w:firstLine="235"/>
        <w:rPr>
          <w:rFonts w:ascii="宋体" w:hAnsi="宋体"/>
          <w:color w:val="auto"/>
          <w:highlight w:val="none"/>
        </w:rPr>
      </w:pPr>
      <w:r>
        <w:rPr>
          <w:rFonts w:hint="eastAsia" w:ascii="宋体" w:hAnsi="宋体"/>
          <w:color w:val="auto"/>
          <w:highlight w:val="none"/>
        </w:rPr>
        <w:t>本工程中标后不得转包，否则作违约处理，视情节追究企业法人责任，并承担相应的商务损失。</w:t>
      </w:r>
    </w:p>
    <w:p>
      <w:pPr>
        <w:numPr>
          <w:ilvl w:val="0"/>
          <w:numId w:val="13"/>
        </w:numPr>
        <w:tabs>
          <w:tab w:val="left" w:pos="480"/>
        </w:tabs>
        <w:spacing w:line="360" w:lineRule="auto"/>
        <w:ind w:left="5" w:firstLine="235"/>
        <w:rPr>
          <w:rFonts w:ascii="宋体" w:hAnsi="宋体"/>
          <w:color w:val="auto"/>
          <w:highlight w:val="none"/>
        </w:rPr>
      </w:pPr>
      <w:r>
        <w:rPr>
          <w:rFonts w:hint="eastAsia" w:ascii="宋体" w:hAnsi="宋体"/>
          <w:color w:val="auto"/>
          <w:highlight w:val="none"/>
        </w:rPr>
        <w:t>本工程的</w:t>
      </w:r>
      <w:r>
        <w:rPr>
          <w:rFonts w:hint="eastAsia" w:ascii="宋体" w:hAnsi="宋体"/>
          <w:color w:val="auto"/>
          <w:szCs w:val="21"/>
          <w:highlight w:val="none"/>
        </w:rPr>
        <w:t>项目负责人</w:t>
      </w:r>
      <w:r>
        <w:rPr>
          <w:rFonts w:hint="eastAsia" w:ascii="宋体" w:hAnsi="宋体"/>
          <w:color w:val="auto"/>
          <w:highlight w:val="none"/>
        </w:rPr>
        <w:t>必须在现场实施全过程、全方位的施工管理，不得承担其他工程项目的管理工作。在招标人组织的不定期检查中，若发现违反有关规定的，在招标人提出整改要求后，若没有及时改进或没有实质性相应的，情节严重的招标人有权单方解除施工合同。承包单位应承担相应的商务责任。</w:t>
      </w:r>
    </w:p>
    <w:p>
      <w:pPr>
        <w:numPr>
          <w:ilvl w:val="0"/>
          <w:numId w:val="13"/>
        </w:numPr>
        <w:tabs>
          <w:tab w:val="left" w:pos="480"/>
        </w:tabs>
        <w:spacing w:line="360" w:lineRule="auto"/>
        <w:ind w:left="5" w:firstLine="235"/>
        <w:rPr>
          <w:rFonts w:ascii="宋体" w:hAnsi="宋体"/>
          <w:color w:val="auto"/>
          <w:highlight w:val="none"/>
        </w:rPr>
      </w:pPr>
      <w:r>
        <w:rPr>
          <w:rFonts w:hint="eastAsia" w:ascii="宋体" w:hAnsi="宋体"/>
          <w:color w:val="auto"/>
          <w:highlight w:val="none"/>
        </w:rPr>
        <w:t>承包单位提交的工程竣工资料必须符合建设工程文件归档整理范围的相关规定，工程竣工验收报告经招标人认可后</w:t>
      </w:r>
      <w:r>
        <w:rPr>
          <w:rFonts w:ascii="宋体" w:hAnsi="宋体"/>
          <w:color w:val="auto"/>
          <w:highlight w:val="none"/>
        </w:rPr>
        <w:t>28</w:t>
      </w:r>
      <w:r>
        <w:rPr>
          <w:rFonts w:hint="eastAsia" w:ascii="宋体" w:hAnsi="宋体"/>
          <w:color w:val="auto"/>
          <w:highlight w:val="none"/>
        </w:rPr>
        <w:t>天内，承包单位须向招标人递交竣工结算报告及完整的结算资料，双方按照协议书约定的合同价款及专用条款约定的合同条款调整内容，进行工程竣工验收</w:t>
      </w:r>
      <w:r>
        <w:rPr>
          <w:rFonts w:ascii="宋体" w:hAnsi="宋体"/>
          <w:color w:val="auto"/>
          <w:highlight w:val="none"/>
        </w:rPr>
        <w:t xml:space="preserve"> </w:t>
      </w:r>
      <w:r>
        <w:rPr>
          <w:rFonts w:hint="eastAsia" w:ascii="宋体" w:hAnsi="宋体"/>
          <w:color w:val="auto"/>
          <w:highlight w:val="none"/>
        </w:rPr>
        <w:t>，否则扣减工程结算总造价的</w:t>
      </w:r>
      <w:r>
        <w:rPr>
          <w:rFonts w:ascii="宋体" w:hAnsi="宋体"/>
          <w:color w:val="auto"/>
          <w:highlight w:val="none"/>
        </w:rPr>
        <w:t>0.5%</w:t>
      </w:r>
      <w:r>
        <w:rPr>
          <w:rFonts w:hint="eastAsia" w:ascii="宋体" w:hAnsi="宋体"/>
          <w:color w:val="auto"/>
          <w:highlight w:val="none"/>
        </w:rPr>
        <w:t>，最高扣减不超过</w:t>
      </w:r>
      <w:r>
        <w:rPr>
          <w:rFonts w:ascii="宋体" w:hAnsi="宋体"/>
          <w:color w:val="auto"/>
          <w:highlight w:val="none"/>
        </w:rPr>
        <w:t>10</w:t>
      </w:r>
      <w:r>
        <w:rPr>
          <w:rFonts w:hint="eastAsia" w:ascii="宋体" w:hAnsi="宋体"/>
          <w:color w:val="auto"/>
          <w:highlight w:val="none"/>
        </w:rPr>
        <w:t>万元，并记录在案，若承包人不按上述规定时间报送结算，发包人可对承包人发催报书面通知；在通知规定期限内仍不报送结算的，发包人有权按已有资料或按已付工程款报办理结算。</w:t>
      </w:r>
    </w:p>
    <w:p>
      <w:pPr>
        <w:spacing w:line="360" w:lineRule="auto"/>
        <w:rPr>
          <w:rFonts w:ascii="宋体" w:hAnsi="宋体"/>
          <w:b/>
          <w:color w:val="auto"/>
          <w:szCs w:val="21"/>
          <w:highlight w:val="none"/>
        </w:rPr>
      </w:pPr>
      <w:r>
        <w:rPr>
          <w:rFonts w:hint="eastAsia" w:ascii="宋体" w:hAnsi="宋体"/>
          <w:b/>
          <w:color w:val="auto"/>
          <w:szCs w:val="21"/>
          <w:highlight w:val="none"/>
        </w:rPr>
        <w:t>9.3有关事项</w:t>
      </w:r>
    </w:p>
    <w:p>
      <w:pPr>
        <w:pStyle w:val="63"/>
        <w:widowControl w:val="0"/>
        <w:numPr>
          <w:ilvl w:val="0"/>
          <w:numId w:val="14"/>
        </w:numPr>
        <w:tabs>
          <w:tab w:val="left" w:pos="540"/>
        </w:tabs>
        <w:spacing w:line="360" w:lineRule="auto"/>
        <w:ind w:left="426" w:hanging="426" w:firstLineChars="0"/>
        <w:rPr>
          <w:rFonts w:ascii="宋体" w:hAnsi="宋体"/>
          <w:color w:val="auto"/>
          <w:highlight w:val="none"/>
        </w:rPr>
      </w:pPr>
      <w:r>
        <w:rPr>
          <w:rFonts w:hint="eastAsia" w:ascii="宋体" w:hAnsi="宋体"/>
          <w:color w:val="auto"/>
          <w:highlight w:val="none"/>
        </w:rPr>
        <w:t>开标定标后，中标单位向招标代理缴纳中标服务费后，根据招标代理单位的通知领取《中标通知书》。</w:t>
      </w:r>
    </w:p>
    <w:p>
      <w:pPr>
        <w:pStyle w:val="63"/>
        <w:widowControl w:val="0"/>
        <w:numPr>
          <w:ilvl w:val="0"/>
          <w:numId w:val="14"/>
        </w:numPr>
        <w:tabs>
          <w:tab w:val="left" w:pos="540"/>
        </w:tabs>
        <w:spacing w:line="360" w:lineRule="auto"/>
        <w:ind w:left="426" w:hanging="426" w:firstLineChars="0"/>
        <w:rPr>
          <w:rFonts w:ascii="宋体" w:hAnsi="宋体"/>
          <w:color w:val="auto"/>
          <w:highlight w:val="none"/>
        </w:rPr>
      </w:pPr>
      <w:r>
        <w:rPr>
          <w:rFonts w:hint="eastAsia" w:ascii="宋体" w:hAnsi="宋体"/>
          <w:color w:val="auto"/>
          <w:highlight w:val="none"/>
        </w:rPr>
        <w:t>中标单位必须在收到中标通知书后30日内与招标人签订施工承发包合同。由于中标人拒签合同，给招标人造成经济损失的，由中标人负责赔偿，并且招标人有权取消中标单位的中标人资格，另行确定中标人或重新招标。</w:t>
      </w:r>
    </w:p>
    <w:p>
      <w:pPr>
        <w:pStyle w:val="63"/>
        <w:widowControl w:val="0"/>
        <w:numPr>
          <w:ilvl w:val="0"/>
          <w:numId w:val="14"/>
        </w:numPr>
        <w:tabs>
          <w:tab w:val="left" w:pos="540"/>
        </w:tabs>
        <w:spacing w:line="360" w:lineRule="auto"/>
        <w:ind w:left="426" w:hanging="426" w:firstLineChars="0"/>
        <w:rPr>
          <w:rFonts w:ascii="宋体" w:hAnsi="宋体"/>
          <w:color w:val="auto"/>
          <w:highlight w:val="none"/>
        </w:rPr>
      </w:pPr>
      <w:r>
        <w:rPr>
          <w:rFonts w:hint="eastAsia" w:ascii="宋体" w:hAnsi="宋体"/>
          <w:color w:val="auto"/>
          <w:highlight w:val="none"/>
        </w:rPr>
        <w:t>本招标文件未尽事宜或修改说明，以建设单位的通知为准。</w:t>
      </w:r>
    </w:p>
    <w:p>
      <w:pPr>
        <w:pStyle w:val="63"/>
        <w:widowControl w:val="0"/>
        <w:numPr>
          <w:ilvl w:val="0"/>
          <w:numId w:val="14"/>
        </w:numPr>
        <w:tabs>
          <w:tab w:val="left" w:pos="540"/>
        </w:tabs>
        <w:spacing w:line="360" w:lineRule="auto"/>
        <w:ind w:left="426" w:hanging="426" w:firstLineChars="0"/>
        <w:rPr>
          <w:rFonts w:ascii="宋体" w:hAnsi="宋体"/>
          <w:b/>
          <w:color w:val="auto"/>
          <w:highlight w:val="none"/>
        </w:rPr>
      </w:pPr>
      <w:r>
        <w:rPr>
          <w:rFonts w:hint="eastAsia" w:ascii="宋体" w:hAnsi="宋体"/>
          <w:b/>
          <w:color w:val="auto"/>
          <w:highlight w:val="none"/>
        </w:rPr>
        <w:t>中标后，项目班子成员一般不得随意变更，如有特殊情况，须经建设单位同意并符合相关法律法规的情况下变更。</w:t>
      </w:r>
    </w:p>
    <w:p>
      <w:pPr>
        <w:pStyle w:val="63"/>
        <w:widowControl w:val="0"/>
        <w:numPr>
          <w:ilvl w:val="0"/>
          <w:numId w:val="14"/>
        </w:numPr>
        <w:tabs>
          <w:tab w:val="left" w:pos="540"/>
        </w:tabs>
        <w:spacing w:line="360" w:lineRule="auto"/>
        <w:ind w:left="426" w:hanging="426" w:firstLineChars="0"/>
        <w:rPr>
          <w:rFonts w:ascii="宋体" w:hAnsi="宋体"/>
          <w:color w:val="auto"/>
          <w:highlight w:val="none"/>
        </w:rPr>
      </w:pPr>
      <w:r>
        <w:rPr>
          <w:rFonts w:hint="eastAsia" w:ascii="宋体" w:hAnsi="宋体"/>
          <w:color w:val="auto"/>
          <w:highlight w:val="none"/>
        </w:rPr>
        <w:t>如中标后，中标单位被招标单位发现任何有围标、串标行为的，招标单位有权取消其中标资格，并对该违规单位追究相关责任。如有投标单位出现两次或以上违规行为的，即被列入黑名单位，按相关规定处理。</w:t>
      </w:r>
    </w:p>
    <w:p>
      <w:pPr>
        <w:pStyle w:val="63"/>
        <w:widowControl w:val="0"/>
        <w:numPr>
          <w:ilvl w:val="0"/>
          <w:numId w:val="14"/>
        </w:numPr>
        <w:tabs>
          <w:tab w:val="left" w:pos="540"/>
        </w:tabs>
        <w:spacing w:line="360" w:lineRule="auto"/>
        <w:ind w:left="426" w:hanging="426" w:firstLineChars="0"/>
        <w:rPr>
          <w:rFonts w:ascii="宋体" w:hAnsi="宋体"/>
          <w:color w:val="auto"/>
          <w:highlight w:val="none"/>
        </w:rPr>
      </w:pPr>
      <w:r>
        <w:rPr>
          <w:rFonts w:hint="eastAsia" w:ascii="宋体" w:hAnsi="宋体"/>
          <w:color w:val="auto"/>
          <w:szCs w:val="21"/>
          <w:highlight w:val="none"/>
        </w:rPr>
        <w:t>人员证书过期的，如能提供相关部门顺延证书有效期的文件，且符合文件规定的，则视为仍然有效。</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sectPr>
          <w:headerReference r:id="rId5" w:type="default"/>
          <w:pgSz w:w="11906" w:h="16838"/>
          <w:pgMar w:top="1418" w:right="1134" w:bottom="1418" w:left="1418" w:header="851" w:footer="992" w:gutter="0"/>
          <w:cols w:space="720" w:num="1"/>
          <w:docGrid w:linePitch="312" w:charSpace="0"/>
        </w:sectPr>
      </w:pPr>
    </w:p>
    <w:p>
      <w:pPr>
        <w:pStyle w:val="2"/>
        <w:ind w:left="2" w:hanging="2"/>
        <w:jc w:val="center"/>
        <w:rPr>
          <w:rFonts w:ascii="宋体" w:hAnsi="宋体"/>
          <w:color w:val="auto"/>
          <w:highlight w:val="none"/>
        </w:rPr>
      </w:pPr>
      <w:bookmarkStart w:id="30" w:name="_Toc80020747"/>
      <w:r>
        <w:rPr>
          <w:rFonts w:hint="eastAsia" w:ascii="宋体" w:hAnsi="宋体"/>
          <w:color w:val="auto"/>
          <w:highlight w:val="none"/>
        </w:rPr>
        <w:t>第三章  评标办法</w:t>
      </w:r>
      <w:bookmarkEnd w:id="30"/>
    </w:p>
    <w:p>
      <w:pPr>
        <w:widowControl w:val="0"/>
        <w:numPr>
          <w:ilvl w:val="0"/>
          <w:numId w:val="15"/>
        </w:numPr>
        <w:tabs>
          <w:tab w:val="left" w:pos="426"/>
          <w:tab w:val="left" w:pos="709"/>
          <w:tab w:val="left" w:pos="1134"/>
        </w:tabs>
        <w:spacing w:line="360" w:lineRule="auto"/>
        <w:rPr>
          <w:rFonts w:ascii="宋体" w:hAnsi="宋体"/>
          <w:b/>
          <w:bCs/>
          <w:color w:val="auto"/>
          <w:highlight w:val="none"/>
        </w:rPr>
      </w:pPr>
      <w:r>
        <w:rPr>
          <w:rFonts w:hint="eastAsia" w:ascii="宋体" w:hAnsi="宋体"/>
          <w:b/>
          <w:bCs/>
          <w:color w:val="auto"/>
          <w:highlight w:val="none"/>
        </w:rPr>
        <w:t>开标</w:t>
      </w:r>
    </w:p>
    <w:p>
      <w:pPr>
        <w:widowControl w:val="0"/>
        <w:spacing w:line="360" w:lineRule="auto"/>
        <w:ind w:left="-94" w:firstLine="425"/>
        <w:rPr>
          <w:rFonts w:ascii="宋体" w:hAnsi="宋体"/>
          <w:color w:val="auto"/>
          <w:highlight w:val="none"/>
        </w:rPr>
      </w:pPr>
      <w:r>
        <w:rPr>
          <w:rFonts w:hint="eastAsia" w:ascii="宋体" w:hAnsi="宋体"/>
          <w:color w:val="auto"/>
          <w:highlight w:val="none"/>
        </w:rPr>
        <w:t>开标时间及地点：招标人（招标代理机构）在规定的开标日期、时间和地点组织公开开标。投标人的法定代表人（或委托代理人）参加开标会议，并在招标代理机构指定的登记册上签名报到以证明其出席。未出席开标会议或在开标会结束前不在会议现场的投标人，则招标代理机构可宣布其认同开标会议内容。</w:t>
      </w:r>
    </w:p>
    <w:p>
      <w:pPr>
        <w:widowControl w:val="0"/>
        <w:tabs>
          <w:tab w:val="left" w:pos="540"/>
        </w:tabs>
        <w:spacing w:line="360" w:lineRule="auto"/>
        <w:ind w:left="-93" w:firstLine="425"/>
        <w:rPr>
          <w:rFonts w:ascii="宋体" w:hAnsi="宋体"/>
          <w:b/>
          <w:bCs/>
          <w:color w:val="auto"/>
          <w:highlight w:val="none"/>
        </w:rPr>
      </w:pPr>
      <w:r>
        <w:rPr>
          <w:rFonts w:hint="eastAsia" w:ascii="宋体" w:hAnsi="宋体"/>
          <w:b/>
          <w:bCs/>
          <w:color w:val="auto"/>
          <w:highlight w:val="none"/>
        </w:rPr>
        <w:t>符合性审查，审查的主要内容有（由招标代理负责）</w:t>
      </w:r>
    </w:p>
    <w:p>
      <w:pPr>
        <w:widowControl w:val="0"/>
        <w:tabs>
          <w:tab w:val="left" w:pos="540"/>
        </w:tabs>
        <w:spacing w:line="360" w:lineRule="auto"/>
        <w:ind w:left="-94" w:firstLine="425"/>
        <w:rPr>
          <w:rFonts w:ascii="宋体" w:hAnsi="宋体"/>
          <w:bCs/>
          <w:color w:val="auto"/>
          <w:highlight w:val="none"/>
        </w:rPr>
      </w:pPr>
      <w:r>
        <w:rPr>
          <w:rFonts w:hint="eastAsia" w:ascii="宋体" w:hAnsi="宋体"/>
          <w:bCs/>
          <w:color w:val="auto"/>
          <w:highlight w:val="none"/>
        </w:rPr>
        <w:t>1）投标文件是否在投标截止时间前提交；</w:t>
      </w:r>
    </w:p>
    <w:p>
      <w:pPr>
        <w:widowControl w:val="0"/>
        <w:tabs>
          <w:tab w:val="left" w:pos="720"/>
        </w:tabs>
        <w:spacing w:line="360" w:lineRule="auto"/>
        <w:ind w:left="-94" w:firstLine="425"/>
        <w:rPr>
          <w:rFonts w:ascii="宋体" w:hAnsi="宋体"/>
          <w:bCs/>
          <w:color w:val="auto"/>
          <w:highlight w:val="none"/>
        </w:rPr>
      </w:pPr>
      <w:r>
        <w:rPr>
          <w:rFonts w:hint="eastAsia" w:ascii="宋体" w:hAnsi="宋体"/>
          <w:bCs/>
          <w:color w:val="auto"/>
          <w:highlight w:val="none"/>
        </w:rPr>
        <w:t>2）投标单位的法定代表人或委托代理人是否按规定准时参加开标会议，并检查其法定代表人的</w:t>
      </w:r>
      <w:r>
        <w:rPr>
          <w:rFonts w:hint="eastAsia" w:ascii="宋体" w:hAnsi="宋体"/>
          <w:color w:val="auto"/>
          <w:highlight w:val="none"/>
        </w:rPr>
        <w:t>法定代表人身份证明</w:t>
      </w:r>
      <w:r>
        <w:rPr>
          <w:rFonts w:hint="eastAsia" w:ascii="宋体" w:hAnsi="宋体"/>
          <w:bCs/>
          <w:color w:val="auto"/>
          <w:highlight w:val="none"/>
        </w:rPr>
        <w:t>和第二代身份证（代理人参加开标会时需检查其</w:t>
      </w:r>
      <w:r>
        <w:rPr>
          <w:rFonts w:hint="eastAsia" w:ascii="宋体" w:hAnsi="宋体"/>
          <w:color w:val="auto"/>
          <w:highlight w:val="none"/>
        </w:rPr>
        <w:t>法定代表人身份证明</w:t>
      </w:r>
      <w:r>
        <w:rPr>
          <w:rFonts w:hint="eastAsia" w:ascii="宋体" w:hAnsi="宋体"/>
          <w:bCs/>
          <w:color w:val="auto"/>
          <w:highlight w:val="none"/>
        </w:rPr>
        <w:t>、授权委托书和第二代身份证）；</w:t>
      </w:r>
    </w:p>
    <w:p>
      <w:pPr>
        <w:widowControl w:val="0"/>
        <w:tabs>
          <w:tab w:val="left" w:pos="540"/>
        </w:tabs>
        <w:spacing w:line="360" w:lineRule="auto"/>
        <w:ind w:left="-94" w:firstLine="425"/>
        <w:rPr>
          <w:rFonts w:ascii="宋体" w:hAnsi="宋体"/>
          <w:bCs/>
          <w:color w:val="auto"/>
          <w:highlight w:val="none"/>
        </w:rPr>
      </w:pPr>
      <w:r>
        <w:rPr>
          <w:rFonts w:hint="eastAsia" w:ascii="宋体" w:hAnsi="宋体"/>
          <w:bCs/>
          <w:color w:val="auto"/>
          <w:highlight w:val="none"/>
        </w:rPr>
        <w:t>3）投标文件的密封和标记是否符合招标文件规定；</w:t>
      </w:r>
    </w:p>
    <w:p>
      <w:pPr>
        <w:widowControl w:val="0"/>
        <w:tabs>
          <w:tab w:val="left" w:pos="540"/>
        </w:tabs>
        <w:spacing w:line="360" w:lineRule="auto"/>
        <w:ind w:left="-94" w:firstLine="425"/>
        <w:rPr>
          <w:rFonts w:ascii="宋体" w:hAnsi="宋体"/>
          <w:bCs/>
          <w:color w:val="auto"/>
          <w:highlight w:val="none"/>
        </w:rPr>
      </w:pPr>
      <w:r>
        <w:rPr>
          <w:rFonts w:hint="eastAsia" w:ascii="宋体" w:hAnsi="宋体"/>
          <w:bCs/>
          <w:color w:val="auto"/>
          <w:highlight w:val="none"/>
        </w:rPr>
        <w:t>4）投标文件的份数、式样和盖章、签署是否符合招标文件规定；</w:t>
      </w:r>
    </w:p>
    <w:p>
      <w:pPr>
        <w:widowControl w:val="0"/>
        <w:tabs>
          <w:tab w:val="left" w:pos="540"/>
        </w:tabs>
        <w:spacing w:line="360" w:lineRule="auto"/>
        <w:ind w:left="-93" w:firstLine="425"/>
        <w:rPr>
          <w:rFonts w:ascii="宋体" w:hAnsi="宋体"/>
          <w:b/>
          <w:bCs/>
          <w:color w:val="auto"/>
          <w:highlight w:val="none"/>
        </w:rPr>
      </w:pPr>
      <w:r>
        <w:rPr>
          <w:rFonts w:hint="eastAsia" w:ascii="宋体" w:hAnsi="宋体"/>
          <w:b/>
          <w:bCs/>
          <w:color w:val="auto"/>
          <w:highlight w:val="none"/>
        </w:rPr>
        <w:t>投标文件对应于以上审查内容的任何一项为不符合的则不通过符合性审查，投标文件不予受理。符合性审查合格家数不足三家则按规定重新招标。</w:t>
      </w:r>
    </w:p>
    <w:p>
      <w:pPr>
        <w:widowControl w:val="0"/>
        <w:numPr>
          <w:ilvl w:val="0"/>
          <w:numId w:val="15"/>
        </w:numPr>
        <w:tabs>
          <w:tab w:val="left" w:pos="426"/>
          <w:tab w:val="left" w:pos="709"/>
          <w:tab w:val="left" w:pos="1134"/>
        </w:tabs>
        <w:spacing w:line="360" w:lineRule="auto"/>
        <w:rPr>
          <w:rFonts w:ascii="宋体" w:hAnsi="宋体"/>
          <w:b/>
          <w:color w:val="auto"/>
          <w:highlight w:val="none"/>
        </w:rPr>
      </w:pPr>
      <w:r>
        <w:rPr>
          <w:rFonts w:hint="eastAsia" w:ascii="宋体" w:hAnsi="宋体"/>
          <w:b/>
          <w:bCs/>
          <w:color w:val="auto"/>
          <w:highlight w:val="none"/>
        </w:rPr>
        <w:t>评标办法：</w:t>
      </w:r>
      <w:r>
        <w:rPr>
          <w:rFonts w:hint="eastAsia" w:ascii="宋体" w:hAnsi="宋体"/>
          <w:b/>
          <w:color w:val="auto"/>
          <w:highlight w:val="none"/>
        </w:rPr>
        <w:t>（本次评标采用经评审的最低投标价法。）</w:t>
      </w:r>
    </w:p>
    <w:p>
      <w:pPr>
        <w:spacing w:line="360" w:lineRule="auto"/>
        <w:ind w:firstLine="592" w:firstLineChars="247"/>
        <w:rPr>
          <w:rFonts w:ascii="宋体" w:hAnsi="宋体"/>
          <w:color w:val="auto"/>
          <w:highlight w:val="none"/>
        </w:rPr>
      </w:pPr>
      <w:r>
        <w:rPr>
          <w:rFonts w:hint="eastAsia" w:ascii="宋体" w:hAnsi="宋体"/>
          <w:color w:val="auto"/>
          <w:highlight w:val="none"/>
        </w:rPr>
        <w:t>在有效的投标报价中，</w:t>
      </w:r>
      <w:r>
        <w:rPr>
          <w:rFonts w:hint="eastAsia" w:ascii="宋体" w:hAnsi="宋体"/>
          <w:color w:val="auto"/>
          <w:szCs w:val="21"/>
          <w:highlight w:val="none"/>
          <w:lang w:val="fr-CH"/>
        </w:rPr>
        <w:t>按投标报价从小到大的顺序确定1、2、3......n名次（n为报价有效的投标单位数）。</w:t>
      </w:r>
      <w:r>
        <w:rPr>
          <w:rFonts w:hint="eastAsia" w:ascii="宋体" w:hAnsi="宋体"/>
          <w:color w:val="auto"/>
          <w:highlight w:val="none"/>
        </w:rPr>
        <w:t>经评审合格有效的单位达到三家或以上时，则按投标报价排名的先后顺序依次确定中标候选单位：排名第一位的为第一中标候选单位、排名第二位的为第二中标候选单位、排名居第三位的为第三中标候选单位。当合格者不足3家，则评标中止，由招标人重新组织招标。</w:t>
      </w:r>
    </w:p>
    <w:p>
      <w:pPr>
        <w:widowControl w:val="0"/>
        <w:tabs>
          <w:tab w:val="left" w:pos="540"/>
        </w:tabs>
        <w:spacing w:line="360" w:lineRule="auto"/>
        <w:ind w:left="-94" w:firstLine="425"/>
        <w:rPr>
          <w:rFonts w:ascii="宋体" w:hAnsi="宋体"/>
          <w:b/>
          <w:bCs/>
          <w:color w:val="auto"/>
          <w:highlight w:val="none"/>
        </w:rPr>
      </w:pPr>
      <w:r>
        <w:rPr>
          <w:rFonts w:hint="eastAsia" w:ascii="宋体" w:hAnsi="宋体"/>
          <w:b/>
          <w:bCs/>
          <w:color w:val="auto"/>
          <w:highlight w:val="none"/>
        </w:rPr>
        <w:t>整个评标工作分为三阶段进行：</w:t>
      </w:r>
    </w:p>
    <w:p>
      <w:pPr>
        <w:spacing w:before="50" w:after="50" w:line="360" w:lineRule="auto"/>
        <w:ind w:left="-93" w:firstLine="425"/>
        <w:rPr>
          <w:rFonts w:ascii="宋体" w:hAnsi="宋体"/>
          <w:b/>
          <w:color w:val="auto"/>
          <w:highlight w:val="none"/>
        </w:rPr>
      </w:pPr>
      <w:r>
        <w:rPr>
          <w:rFonts w:hint="eastAsia" w:ascii="宋体" w:hAnsi="宋体"/>
          <w:b/>
          <w:color w:val="auto"/>
          <w:highlight w:val="none"/>
        </w:rPr>
        <w:t>（一）第一阶段，进行基本资料评审：</w:t>
      </w:r>
    </w:p>
    <w:p>
      <w:pPr>
        <w:numPr>
          <w:ilvl w:val="0"/>
          <w:numId w:val="16"/>
        </w:numPr>
        <w:tabs>
          <w:tab w:val="left" w:pos="480"/>
        </w:tabs>
        <w:spacing w:before="50" w:after="50" w:line="360" w:lineRule="auto"/>
        <w:ind w:left="5" w:firstLine="235"/>
        <w:rPr>
          <w:rFonts w:ascii="宋体" w:hAnsi="宋体"/>
          <w:color w:val="auto"/>
          <w:szCs w:val="21"/>
          <w:highlight w:val="none"/>
        </w:rPr>
      </w:pPr>
      <w:r>
        <w:rPr>
          <w:rFonts w:hint="eastAsia" w:ascii="宋体" w:hAnsi="宋体"/>
          <w:color w:val="auto"/>
          <w:szCs w:val="21"/>
          <w:highlight w:val="none"/>
        </w:rPr>
        <w:t>具备有效的法定代表人身份证明及有效的授权委托书（适用于有代理人的情况）；</w:t>
      </w:r>
    </w:p>
    <w:p>
      <w:pPr>
        <w:numPr>
          <w:ilvl w:val="0"/>
          <w:numId w:val="16"/>
        </w:numPr>
        <w:tabs>
          <w:tab w:val="left" w:pos="480"/>
        </w:tabs>
        <w:spacing w:before="50" w:after="50" w:line="360" w:lineRule="auto"/>
        <w:ind w:left="5" w:firstLine="235"/>
        <w:rPr>
          <w:rFonts w:ascii="宋体" w:hAnsi="宋体"/>
          <w:color w:val="auto"/>
          <w:szCs w:val="21"/>
          <w:highlight w:val="none"/>
        </w:rPr>
      </w:pPr>
      <w:r>
        <w:rPr>
          <w:rFonts w:hint="eastAsia" w:ascii="宋体" w:hAnsi="宋体"/>
          <w:color w:val="auto"/>
          <w:szCs w:val="21"/>
          <w:highlight w:val="none"/>
        </w:rPr>
        <w:t>具备有效的营业执照、资质证、安全生产许可证；</w:t>
      </w:r>
    </w:p>
    <w:p>
      <w:pPr>
        <w:widowControl w:val="0"/>
        <w:numPr>
          <w:ilvl w:val="0"/>
          <w:numId w:val="16"/>
        </w:numPr>
        <w:tabs>
          <w:tab w:val="left" w:pos="480"/>
          <w:tab w:val="left" w:pos="540"/>
        </w:tabs>
        <w:spacing w:line="360" w:lineRule="auto"/>
        <w:ind w:left="5" w:firstLine="235"/>
        <w:rPr>
          <w:rFonts w:ascii="宋体" w:hAnsi="宋体"/>
          <w:color w:val="auto"/>
          <w:highlight w:val="none"/>
        </w:rPr>
      </w:pPr>
      <w:r>
        <w:rPr>
          <w:rFonts w:hint="eastAsia" w:ascii="宋体" w:hAnsi="宋体"/>
          <w:color w:val="auto"/>
          <w:szCs w:val="21"/>
          <w:highlight w:val="none"/>
        </w:rPr>
        <w:t>提供《信用中国》网站的信用报告（加盖投标单位公章）且</w:t>
      </w:r>
      <w:r>
        <w:rPr>
          <w:rFonts w:hint="eastAsia" w:ascii="宋体" w:hAnsi="宋体"/>
          <w:color w:val="auto"/>
          <w:highlight w:val="none"/>
        </w:rPr>
        <w:t>未被列为“失信被执行人”，</w:t>
      </w:r>
      <w:r>
        <w:rPr>
          <w:rFonts w:hint="eastAsia" w:ascii="宋体" w:hAnsi="宋体"/>
          <w:color w:val="auto"/>
          <w:szCs w:val="21"/>
          <w:highlight w:val="none"/>
        </w:rPr>
        <w:t>未在国家企业信用信息公示系统被列入“严重违法失信企业名单”</w:t>
      </w:r>
      <w:r>
        <w:rPr>
          <w:rFonts w:hint="eastAsia" w:ascii="宋体" w:hAnsi="宋体"/>
          <w:color w:val="auto"/>
          <w:highlight w:val="none"/>
        </w:rPr>
        <w:t>；</w:t>
      </w:r>
    </w:p>
    <w:p>
      <w:pPr>
        <w:widowControl w:val="0"/>
        <w:numPr>
          <w:ilvl w:val="0"/>
          <w:numId w:val="16"/>
        </w:numPr>
        <w:tabs>
          <w:tab w:val="left" w:pos="480"/>
          <w:tab w:val="left" w:pos="540"/>
        </w:tabs>
        <w:spacing w:line="360" w:lineRule="auto"/>
        <w:ind w:left="5" w:firstLine="235"/>
        <w:rPr>
          <w:rFonts w:ascii="宋体" w:hAnsi="宋体"/>
          <w:bCs/>
          <w:color w:val="auto"/>
          <w:highlight w:val="none"/>
        </w:rPr>
      </w:pPr>
      <w:r>
        <w:rPr>
          <w:rFonts w:hint="eastAsia" w:ascii="宋体" w:hAnsi="宋体"/>
          <w:bCs/>
          <w:color w:val="auto"/>
          <w:highlight w:val="none"/>
        </w:rPr>
        <w:t>承诺书内容是否满足招标文件要求；</w:t>
      </w:r>
    </w:p>
    <w:p>
      <w:pPr>
        <w:widowControl w:val="0"/>
        <w:numPr>
          <w:ilvl w:val="0"/>
          <w:numId w:val="16"/>
        </w:numPr>
        <w:tabs>
          <w:tab w:val="left" w:pos="480"/>
          <w:tab w:val="left" w:pos="540"/>
        </w:tabs>
        <w:spacing w:line="360" w:lineRule="auto"/>
        <w:ind w:left="5" w:firstLine="235"/>
        <w:rPr>
          <w:color w:val="auto"/>
          <w:highlight w:val="none"/>
        </w:rPr>
      </w:pPr>
      <w:r>
        <w:rPr>
          <w:rFonts w:hint="eastAsia"/>
          <w:color w:val="auto"/>
          <w:highlight w:val="none"/>
        </w:rPr>
        <w:t>基本资料签署、盖章是否符合招标文件要求；</w:t>
      </w:r>
    </w:p>
    <w:p>
      <w:pPr>
        <w:widowControl w:val="0"/>
        <w:tabs>
          <w:tab w:val="left" w:pos="540"/>
        </w:tabs>
        <w:spacing w:line="360" w:lineRule="auto"/>
        <w:ind w:left="-94" w:firstLine="425"/>
        <w:rPr>
          <w:rFonts w:ascii="宋体" w:hAnsi="宋体"/>
          <w:bCs/>
          <w:color w:val="auto"/>
          <w:highlight w:val="none"/>
        </w:rPr>
      </w:pPr>
      <w:r>
        <w:rPr>
          <w:rFonts w:hint="eastAsia" w:ascii="宋体" w:hAnsi="宋体"/>
          <w:bCs/>
          <w:color w:val="auto"/>
          <w:highlight w:val="none"/>
        </w:rPr>
        <w:t>注：评标时，招标代理机构</w:t>
      </w:r>
      <w:r>
        <w:rPr>
          <w:rFonts w:hint="eastAsia" w:ascii="宋体" w:hAnsi="宋体" w:cs="宋体"/>
          <w:color w:val="auto"/>
          <w:highlight w:val="none"/>
        </w:rPr>
        <w:t>登录《信用中国》网站及“</w:t>
      </w:r>
      <w:r>
        <w:rPr>
          <w:rFonts w:hint="eastAsia" w:ascii="宋体" w:hAnsi="宋体"/>
          <w:color w:val="auto"/>
          <w:szCs w:val="21"/>
          <w:highlight w:val="none"/>
        </w:rPr>
        <w:t>国家企业信用信息公示系统</w:t>
      </w:r>
      <w:r>
        <w:rPr>
          <w:rFonts w:hint="eastAsia" w:ascii="宋体" w:hAnsi="宋体" w:cs="宋体"/>
          <w:color w:val="auto"/>
          <w:highlight w:val="none"/>
        </w:rPr>
        <w:t>”查询投标人的信用情况。</w:t>
      </w:r>
    </w:p>
    <w:p>
      <w:pPr>
        <w:spacing w:before="50" w:after="50" w:line="360" w:lineRule="auto"/>
        <w:ind w:left="-93" w:firstLine="425"/>
        <w:rPr>
          <w:rFonts w:ascii="宋体" w:hAnsi="宋体"/>
          <w:b/>
          <w:color w:val="auto"/>
          <w:highlight w:val="none"/>
        </w:rPr>
      </w:pPr>
      <w:r>
        <w:rPr>
          <w:rFonts w:hint="eastAsia" w:ascii="宋体" w:hAnsi="宋体"/>
          <w:b/>
          <w:color w:val="auto"/>
          <w:highlight w:val="none"/>
        </w:rPr>
        <w:t>（二）第二阶段，进行经济标函评审：</w:t>
      </w:r>
    </w:p>
    <w:p>
      <w:pPr>
        <w:spacing w:before="50" w:after="50" w:line="360" w:lineRule="auto"/>
        <w:ind w:left="-94" w:firstLine="425"/>
        <w:rPr>
          <w:rFonts w:ascii="宋体" w:hAnsi="宋体"/>
          <w:color w:val="auto"/>
          <w:highlight w:val="none"/>
        </w:rPr>
      </w:pPr>
      <w:r>
        <w:rPr>
          <w:rFonts w:hint="eastAsia" w:ascii="宋体" w:hAnsi="宋体"/>
          <w:color w:val="auto"/>
          <w:highlight w:val="none"/>
        </w:rPr>
        <w:t>对通过资格评审的投标单位进行</w:t>
      </w:r>
      <w:r>
        <w:rPr>
          <w:rFonts w:hint="eastAsia" w:ascii="宋体" w:hAnsi="宋体"/>
          <w:b/>
          <w:color w:val="auto"/>
          <w:highlight w:val="none"/>
        </w:rPr>
        <w:t>投标报价</w:t>
      </w:r>
      <w:r>
        <w:rPr>
          <w:rFonts w:hint="eastAsia" w:ascii="宋体" w:hAnsi="宋体"/>
          <w:color w:val="auto"/>
          <w:highlight w:val="none"/>
        </w:rPr>
        <w:t>评审：</w:t>
      </w:r>
    </w:p>
    <w:p>
      <w:pPr>
        <w:spacing w:before="50" w:after="50" w:line="360" w:lineRule="auto"/>
        <w:ind w:left="-94" w:firstLine="425"/>
        <w:rPr>
          <w:rFonts w:ascii="宋体" w:hAnsi="宋体"/>
          <w:color w:val="auto"/>
          <w:highlight w:val="none"/>
        </w:rPr>
      </w:pPr>
      <w:r>
        <w:rPr>
          <w:rFonts w:hint="eastAsia" w:ascii="宋体" w:hAnsi="宋体"/>
          <w:color w:val="auto"/>
          <w:highlight w:val="none"/>
        </w:rPr>
        <w:t>1）投标报价汇总表必须按照招标文件要求签名、盖章，否则作无效标处理。</w:t>
      </w:r>
    </w:p>
    <w:p>
      <w:pPr>
        <w:spacing w:before="50" w:after="50" w:line="360" w:lineRule="auto"/>
        <w:ind w:left="-94" w:firstLine="425"/>
        <w:rPr>
          <w:rFonts w:ascii="宋体" w:hAnsi="宋体"/>
          <w:bCs/>
          <w:color w:val="auto"/>
          <w:highlight w:val="none"/>
        </w:rPr>
      </w:pPr>
      <w:r>
        <w:rPr>
          <w:rFonts w:hint="eastAsia" w:ascii="宋体" w:hAnsi="宋体"/>
          <w:color w:val="auto"/>
          <w:highlight w:val="none"/>
        </w:rPr>
        <w:t>2）</w:t>
      </w:r>
      <w:r>
        <w:rPr>
          <w:rFonts w:hint="eastAsia" w:ascii="宋体" w:hAnsi="宋体"/>
          <w:bCs/>
          <w:color w:val="auto"/>
          <w:highlight w:val="none"/>
        </w:rPr>
        <w:t>投标报价不高于本招标文件规定的投标报价上限价，高于者为无效标函，不予评审，或不得低于</w:t>
      </w:r>
      <w:r>
        <w:rPr>
          <w:rFonts w:hint="eastAsia" w:ascii="宋体" w:hAnsi="宋体"/>
          <w:color w:val="auto"/>
          <w:szCs w:val="21"/>
          <w:highlight w:val="none"/>
        </w:rPr>
        <w:t>绿色施工安全防护措施费</w:t>
      </w:r>
      <w:r>
        <w:rPr>
          <w:rFonts w:hint="eastAsia" w:ascii="宋体" w:hAnsi="宋体"/>
          <w:bCs/>
          <w:color w:val="auto"/>
          <w:highlight w:val="none"/>
        </w:rPr>
        <w:t xml:space="preserve">下限值，低于者为无效标函，不予评审。如评标委员会对投标单位的报价有疑问时，即向投标单位进行询标。如投标单位不能向评标委员会解释投标报价的合理构成时，则评标委员会评定该投标报价为无效报价，作废标处理。有效报价不足三家则按规定重新招标。 </w:t>
      </w:r>
    </w:p>
    <w:p>
      <w:pPr>
        <w:spacing w:line="360" w:lineRule="auto"/>
        <w:ind w:firstLine="592" w:firstLineChars="247"/>
        <w:rPr>
          <w:rFonts w:ascii="宋体" w:hAnsi="宋体"/>
          <w:color w:val="auto"/>
          <w:highlight w:val="none"/>
        </w:rPr>
      </w:pPr>
      <w:r>
        <w:rPr>
          <w:rFonts w:hint="eastAsia" w:ascii="宋体" w:hAnsi="宋体"/>
          <w:color w:val="auto"/>
          <w:highlight w:val="none"/>
        </w:rPr>
        <w:t>3）在有效的投标报价中，</w:t>
      </w:r>
      <w:r>
        <w:rPr>
          <w:rFonts w:hint="eastAsia" w:ascii="宋体" w:hAnsi="宋体"/>
          <w:color w:val="auto"/>
          <w:szCs w:val="21"/>
          <w:highlight w:val="none"/>
          <w:lang w:val="fr-CH"/>
        </w:rPr>
        <w:t>按投标报价从小到大的顺序确定1、2、3......n名次（n为报价有效的投标单位数）。</w:t>
      </w:r>
    </w:p>
    <w:p>
      <w:pPr>
        <w:spacing w:before="50" w:after="50" w:line="360" w:lineRule="auto"/>
        <w:ind w:left="-94" w:firstLine="425"/>
        <w:rPr>
          <w:rFonts w:ascii="宋体" w:hAnsi="宋体"/>
          <w:color w:val="auto"/>
          <w:highlight w:val="none"/>
        </w:rPr>
      </w:pPr>
      <w:r>
        <w:rPr>
          <w:rFonts w:hint="eastAsia" w:ascii="宋体" w:hAnsi="宋体"/>
          <w:color w:val="auto"/>
          <w:highlight w:val="none"/>
        </w:rPr>
        <w:t>4）经评审合格有效的单位达到三家或以上时，则按投标报价排名的先后顺序依次确定中标候选单位：排名第一位的为第一中标候选单位、排名第二位的为第二中标候选单位、排名居第三位的为第三中标候选单位。当合格者不足3家，则评标中止，由招标人重新组织招标。</w:t>
      </w:r>
    </w:p>
    <w:p>
      <w:pPr>
        <w:spacing w:line="360" w:lineRule="auto"/>
        <w:ind w:left="-93" w:firstLine="425"/>
        <w:rPr>
          <w:rFonts w:ascii="宋体" w:hAnsi="宋体" w:cs="宋体"/>
          <w:bCs/>
          <w:color w:val="auto"/>
          <w:highlight w:val="none"/>
          <w:lang w:val="fr-CH"/>
        </w:rPr>
      </w:pPr>
      <w:r>
        <w:rPr>
          <w:rFonts w:hint="eastAsia" w:ascii="宋体" w:hAnsi="宋体" w:cs="宋体"/>
          <w:bCs/>
          <w:color w:val="auto"/>
          <w:highlight w:val="none"/>
        </w:rPr>
        <w:t>5）若第一中标</w:t>
      </w:r>
      <w:r>
        <w:rPr>
          <w:rFonts w:hint="eastAsia" w:ascii="宋体" w:hAnsi="宋体" w:cs="宋体"/>
          <w:bCs/>
          <w:color w:val="auto"/>
          <w:highlight w:val="none"/>
          <w:lang w:val="fr-CH"/>
        </w:rPr>
        <w:t>候选单位</w:t>
      </w:r>
      <w:r>
        <w:rPr>
          <w:rFonts w:hint="eastAsia" w:ascii="宋体" w:hAnsi="宋体" w:cs="宋体"/>
          <w:bCs/>
          <w:color w:val="auto"/>
          <w:highlight w:val="none"/>
        </w:rPr>
        <w:t>有两家或两家以上（即投标报价相同），招标人则通过公开摇珠的方式确定排名先后，摇珠规则：排名先后则按所摇号由大到小的顺序确定（即所摇号数大者排名在先）。</w:t>
      </w:r>
    </w:p>
    <w:p>
      <w:pPr>
        <w:spacing w:before="50" w:after="50" w:line="360" w:lineRule="auto"/>
        <w:ind w:left="-93" w:firstLine="425"/>
        <w:rPr>
          <w:rFonts w:ascii="宋体" w:hAnsi="宋体"/>
          <w:b/>
          <w:bCs/>
          <w:color w:val="auto"/>
          <w:highlight w:val="none"/>
        </w:rPr>
      </w:pPr>
      <w:r>
        <w:rPr>
          <w:rFonts w:hint="eastAsia" w:ascii="宋体" w:hAnsi="宋体"/>
          <w:b/>
          <w:bCs/>
          <w:color w:val="auto"/>
          <w:highlight w:val="none"/>
        </w:rPr>
        <w:t>（三）第三阶段：确定中标单位及中标承包价：</w:t>
      </w:r>
    </w:p>
    <w:p>
      <w:pPr>
        <w:spacing w:before="50" w:after="50" w:line="360" w:lineRule="auto"/>
        <w:ind w:left="-94" w:firstLine="425"/>
        <w:rPr>
          <w:rFonts w:ascii="宋体" w:hAnsi="宋体"/>
          <w:color w:val="auto"/>
          <w:highlight w:val="none"/>
        </w:rPr>
      </w:pPr>
      <w:r>
        <w:rPr>
          <w:rFonts w:hint="eastAsia" w:ascii="宋体" w:hAnsi="宋体"/>
          <w:color w:val="auto"/>
          <w:highlight w:val="none"/>
        </w:rPr>
        <w:t>1、中标单位的确定：一般情况下第一中标候选单位为中标单位，若中标单位放弃中标，则第一中标候选单位的中标无效，由第二中标候选单位为正式中标单位，若第二中标候选单位因前款规定同样不能签订合同的，建设单位可以确定第三中标候选单位为中标单位，若第三中标候选单位亦放弃中标，建设单位将重新组织招标。若中标单位无正当理由放弃中标，且其投标报价少于后补中标单位的投标报价时，则该单位须按两次中标报价的差价赔偿给建设单位。</w:t>
      </w:r>
    </w:p>
    <w:p>
      <w:pPr>
        <w:spacing w:before="50" w:after="50" w:line="360" w:lineRule="auto"/>
        <w:ind w:left="-94" w:firstLine="425"/>
        <w:rPr>
          <w:rFonts w:ascii="宋体" w:hAnsi="宋体"/>
          <w:color w:val="auto"/>
          <w:highlight w:val="none"/>
        </w:rPr>
      </w:pPr>
      <w:r>
        <w:rPr>
          <w:rFonts w:hint="eastAsia" w:ascii="宋体" w:hAnsi="宋体"/>
          <w:color w:val="auto"/>
          <w:highlight w:val="none"/>
        </w:rPr>
        <w:t>2、中标价的确定：以中标单位的投标报价为中标价。</w:t>
      </w:r>
    </w:p>
    <w:p>
      <w:pPr>
        <w:spacing w:before="50" w:after="50" w:line="360" w:lineRule="auto"/>
        <w:ind w:left="-94" w:firstLine="425"/>
        <w:rPr>
          <w:rFonts w:ascii="宋体" w:hAnsi="宋体"/>
          <w:color w:val="auto"/>
          <w:highlight w:val="none"/>
        </w:rPr>
      </w:pPr>
      <w:r>
        <w:rPr>
          <w:rFonts w:hint="eastAsia" w:ascii="宋体" w:hAnsi="宋体"/>
          <w:color w:val="auto"/>
          <w:highlight w:val="none"/>
        </w:rPr>
        <w:t>3、专职责任记录员将整个招标工作包括评标过程形成纪要，由评审委员会、有关部门人员以及监督员签证。</w:t>
      </w:r>
    </w:p>
    <w:p>
      <w:pPr>
        <w:widowControl w:val="0"/>
        <w:spacing w:line="360" w:lineRule="auto"/>
        <w:rPr>
          <w:rFonts w:ascii="宋体" w:hAnsi="宋体"/>
          <w:b/>
          <w:color w:val="auto"/>
          <w:highlight w:val="none"/>
        </w:rPr>
      </w:pPr>
      <w:r>
        <w:rPr>
          <w:rFonts w:hint="eastAsia" w:ascii="宋体" w:hAnsi="宋体"/>
          <w:b/>
          <w:color w:val="auto"/>
          <w:highlight w:val="none"/>
        </w:rPr>
        <w:t>3.否决性条款</w:t>
      </w:r>
    </w:p>
    <w:p>
      <w:pPr>
        <w:spacing w:line="360" w:lineRule="auto"/>
        <w:rPr>
          <w:rFonts w:ascii="宋体" w:hAnsi="宋体"/>
          <w:color w:val="auto"/>
          <w:szCs w:val="21"/>
          <w:highlight w:val="none"/>
        </w:rPr>
      </w:pPr>
      <w:r>
        <w:rPr>
          <w:rFonts w:hint="eastAsia" w:ascii="宋体" w:hAnsi="宋体"/>
          <w:color w:val="auto"/>
          <w:szCs w:val="21"/>
          <w:highlight w:val="none"/>
        </w:rPr>
        <w:t>3.1投标人有下列情形之一的，不受理投标：</w:t>
      </w:r>
    </w:p>
    <w:p>
      <w:pPr>
        <w:pStyle w:val="63"/>
        <w:numPr>
          <w:ilvl w:val="0"/>
          <w:numId w:val="17"/>
        </w:numPr>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未按招标文件指定时间、地点提交投标文件的；</w:t>
      </w:r>
    </w:p>
    <w:p>
      <w:pPr>
        <w:pStyle w:val="63"/>
        <w:numPr>
          <w:ilvl w:val="0"/>
          <w:numId w:val="17"/>
        </w:numPr>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投标人的法定代表人或代理人未按时到开标现场完成签到的；</w:t>
      </w:r>
    </w:p>
    <w:p>
      <w:pPr>
        <w:pStyle w:val="63"/>
        <w:numPr>
          <w:ilvl w:val="0"/>
          <w:numId w:val="17"/>
        </w:numPr>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法定代表人参加开标会时，未能在开标前当场递交</w:t>
      </w:r>
      <w:r>
        <w:rPr>
          <w:rFonts w:hint="eastAsia" w:ascii="宋体" w:hAnsi="宋体"/>
          <w:color w:val="auto"/>
          <w:highlight w:val="none"/>
        </w:rPr>
        <w:t>法定代表人身份证明</w:t>
      </w:r>
      <w:r>
        <w:rPr>
          <w:rFonts w:hint="eastAsia" w:ascii="宋体" w:hAnsi="宋体"/>
          <w:color w:val="auto"/>
          <w:szCs w:val="21"/>
          <w:highlight w:val="none"/>
        </w:rPr>
        <w:t>或</w:t>
      </w:r>
      <w:r>
        <w:rPr>
          <w:rFonts w:hint="eastAsia" w:ascii="宋体" w:hAnsi="宋体"/>
          <w:color w:val="auto"/>
          <w:highlight w:val="none"/>
        </w:rPr>
        <w:t>法定代表人身份证明</w:t>
      </w:r>
      <w:r>
        <w:rPr>
          <w:rFonts w:hint="eastAsia" w:ascii="宋体" w:hAnsi="宋体"/>
          <w:color w:val="auto"/>
          <w:szCs w:val="21"/>
          <w:highlight w:val="none"/>
        </w:rPr>
        <w:t>上未盖投标人的公章；或法定代表人未当场出示身份证原件；</w:t>
      </w:r>
      <w:r>
        <w:rPr>
          <w:rFonts w:hint="eastAsia" w:ascii="宋体" w:hAnsi="宋体"/>
          <w:color w:val="auto"/>
          <w:szCs w:val="21"/>
          <w:highlight w:val="none"/>
        </w:rPr>
        <w:tab/>
      </w:r>
    </w:p>
    <w:p>
      <w:pPr>
        <w:pStyle w:val="63"/>
        <w:numPr>
          <w:ilvl w:val="0"/>
          <w:numId w:val="17"/>
        </w:numPr>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法定代表人不能到场而由代理人参加时，未能在开标前当场递交</w:t>
      </w:r>
      <w:r>
        <w:rPr>
          <w:rFonts w:hint="eastAsia" w:ascii="宋体" w:hAnsi="宋体"/>
          <w:color w:val="auto"/>
          <w:highlight w:val="none"/>
        </w:rPr>
        <w:t>法定代表人身份证明</w:t>
      </w:r>
      <w:r>
        <w:rPr>
          <w:rFonts w:hint="eastAsia" w:ascii="宋体" w:hAnsi="宋体"/>
          <w:color w:val="auto"/>
          <w:szCs w:val="21"/>
          <w:highlight w:val="none"/>
        </w:rPr>
        <w:t>或法人授权委托证明书；或</w:t>
      </w:r>
      <w:r>
        <w:rPr>
          <w:rFonts w:hint="eastAsia" w:ascii="宋体" w:hAnsi="宋体"/>
          <w:color w:val="auto"/>
          <w:highlight w:val="none"/>
        </w:rPr>
        <w:t>法定代表人身份证明</w:t>
      </w:r>
      <w:r>
        <w:rPr>
          <w:rFonts w:hint="eastAsia" w:ascii="宋体" w:hAnsi="宋体"/>
          <w:color w:val="auto"/>
          <w:szCs w:val="21"/>
          <w:highlight w:val="none"/>
        </w:rPr>
        <w:t>上未盖投标人公章；或法人授权委托证明书上无法定代表人的签字或未加盖投标人的公章；或委托的代理人未当场出示身份证原件；</w:t>
      </w:r>
    </w:p>
    <w:p>
      <w:pPr>
        <w:pStyle w:val="63"/>
        <w:numPr>
          <w:ilvl w:val="0"/>
          <w:numId w:val="17"/>
        </w:numPr>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以纸质形式递交的投标文件未密封的；</w:t>
      </w:r>
    </w:p>
    <w:p>
      <w:pPr>
        <w:pStyle w:val="63"/>
        <w:numPr>
          <w:ilvl w:val="0"/>
          <w:numId w:val="17"/>
        </w:numPr>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以纸质形式递交的投标文件未按招标文件第二章第4.1.2要求密封和加写标记的；</w:t>
      </w:r>
    </w:p>
    <w:p>
      <w:pPr>
        <w:pStyle w:val="63"/>
        <w:numPr>
          <w:ilvl w:val="0"/>
          <w:numId w:val="17"/>
        </w:numPr>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投标文件封面未标注项目名称、</w:t>
      </w:r>
      <w:r>
        <w:rPr>
          <w:rFonts w:hint="eastAsia" w:ascii="宋体" w:hAnsi="宋体"/>
          <w:color w:val="auto"/>
          <w:highlight w:val="none"/>
        </w:rPr>
        <w:t xml:space="preserve"> “投标文件”字样或</w:t>
      </w:r>
      <w:r>
        <w:rPr>
          <w:rFonts w:hint="eastAsia" w:ascii="宋体" w:hAnsi="宋体"/>
          <w:color w:val="auto"/>
          <w:szCs w:val="21"/>
          <w:highlight w:val="none"/>
        </w:rPr>
        <w:t>没有法定代表人（代理人）签字或没有加盖单位公章的；</w:t>
      </w:r>
    </w:p>
    <w:p>
      <w:pPr>
        <w:spacing w:line="360" w:lineRule="auto"/>
        <w:rPr>
          <w:rFonts w:ascii="宋体" w:hAnsi="宋体"/>
          <w:color w:val="auto"/>
          <w:szCs w:val="21"/>
          <w:highlight w:val="none"/>
        </w:rPr>
      </w:pPr>
      <w:r>
        <w:rPr>
          <w:rFonts w:hint="eastAsia" w:ascii="宋体" w:hAnsi="宋体"/>
          <w:color w:val="auto"/>
          <w:szCs w:val="21"/>
          <w:highlight w:val="none"/>
        </w:rPr>
        <w:t>3.2    投标人有下列情形之一的，其投标文件将被否决：</w:t>
      </w:r>
    </w:p>
    <w:p>
      <w:pPr>
        <w:pStyle w:val="63"/>
        <w:numPr>
          <w:ilvl w:val="0"/>
          <w:numId w:val="18"/>
        </w:numPr>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 xml:space="preserve">为招标人不具有独立法人资格的附属机构（单位）； </w:t>
      </w:r>
    </w:p>
    <w:p>
      <w:pPr>
        <w:pStyle w:val="63"/>
        <w:numPr>
          <w:ilvl w:val="0"/>
          <w:numId w:val="18"/>
        </w:numPr>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为本标段前期准备提供设计或咨询服务的；</w:t>
      </w:r>
    </w:p>
    <w:p>
      <w:pPr>
        <w:pStyle w:val="63"/>
        <w:numPr>
          <w:ilvl w:val="0"/>
          <w:numId w:val="18"/>
        </w:numPr>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为本标段的监理人；</w:t>
      </w:r>
    </w:p>
    <w:p>
      <w:pPr>
        <w:pStyle w:val="63"/>
        <w:numPr>
          <w:ilvl w:val="0"/>
          <w:numId w:val="18"/>
        </w:numPr>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为本标段的代建人：</w:t>
      </w:r>
    </w:p>
    <w:p>
      <w:pPr>
        <w:pStyle w:val="63"/>
        <w:numPr>
          <w:ilvl w:val="0"/>
          <w:numId w:val="18"/>
        </w:numPr>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为本标段提供招标代理服务的；</w:t>
      </w:r>
    </w:p>
    <w:p>
      <w:pPr>
        <w:pStyle w:val="63"/>
        <w:numPr>
          <w:ilvl w:val="0"/>
          <w:numId w:val="18"/>
        </w:numPr>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与本标段的监理人或代建人或招标代理机构同为一个法定代表人的：</w:t>
      </w:r>
    </w:p>
    <w:p>
      <w:pPr>
        <w:pStyle w:val="63"/>
        <w:numPr>
          <w:ilvl w:val="0"/>
          <w:numId w:val="18"/>
        </w:numPr>
        <w:tabs>
          <w:tab w:val="left" w:pos="284"/>
          <w:tab w:val="left" w:pos="426"/>
        </w:tabs>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与本标段的监理人或代建人或招标代理机构相互控股或参股的；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与本标段的监理人或代建人或招标代理机构相互任职或工作的：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单位负责人与其他投标人为同一人或者存在控股、管理关系的；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处于被责令停业期内的；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处于被暂停或取消投标资格期内的；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处于财产被接管或冻结期内的；</w:t>
      </w:r>
    </w:p>
    <w:p>
      <w:pPr>
        <w:pStyle w:val="63"/>
        <w:tabs>
          <w:tab w:val="left" w:pos="284"/>
          <w:tab w:val="left" w:pos="426"/>
          <w:tab w:val="left" w:pos="567"/>
        </w:tabs>
        <w:spacing w:line="360" w:lineRule="auto"/>
        <w:ind w:left="281" w:firstLine="0" w:firstLineChars="0"/>
        <w:rPr>
          <w:rFonts w:ascii="宋体" w:hAnsi="宋体"/>
          <w:bCs/>
          <w:color w:val="auto"/>
          <w:szCs w:val="21"/>
          <w:highlight w:val="none"/>
        </w:rPr>
      </w:pPr>
      <w:r>
        <w:rPr>
          <w:rFonts w:hint="eastAsia" w:ascii="宋体" w:hAnsi="宋体"/>
          <w:bCs/>
          <w:color w:val="auto"/>
          <w:szCs w:val="21"/>
          <w:highlight w:val="none"/>
        </w:rPr>
        <w:t>（如联合体投标，联合体任一成员具有上述任一情况的，其投标文件将被否决。）</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highlight w:val="none"/>
        </w:rPr>
      </w:pPr>
      <w:r>
        <w:rPr>
          <w:rFonts w:hint="eastAsia" w:ascii="宋体" w:hAnsi="宋体"/>
          <w:bCs/>
          <w:color w:val="auto"/>
          <w:szCs w:val="21"/>
          <w:highlight w:val="none"/>
        </w:rPr>
        <w:t>联合体投标的，有以下情形之一的:（接受联合体投标的设定此条款）</w:t>
      </w:r>
    </w:p>
    <w:p>
      <w:pPr>
        <w:tabs>
          <w:tab w:val="left" w:pos="284"/>
          <w:tab w:val="left" w:pos="426"/>
          <w:tab w:val="left" w:pos="567"/>
        </w:tabs>
        <w:spacing w:line="360" w:lineRule="auto"/>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联合体牵头人不具备与所投标段工程内容相适应的施工资质，或成员单位不具备与所承担工程内容相适应的施工资质；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2)联合体各方签订联合体协议后，再以自己名义单独或以其他联合体成员的名义参加同一标段的投标；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3)提交联合体各成员单位共同签订的联合体协议，没有明确牵头人及成员单位各自的权利和义务以及应当承担的责任。</w:t>
      </w:r>
    </w:p>
    <w:p>
      <w:pPr>
        <w:tabs>
          <w:tab w:val="left" w:pos="567"/>
        </w:tabs>
        <w:spacing w:line="360" w:lineRule="auto"/>
        <w:rPr>
          <w:rFonts w:ascii="宋体" w:hAnsi="宋体"/>
          <w:bCs/>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投标人组成联合体投标，但投标文件中未按规定附有联合体各方共同签署（不允许私章）盖章的投标协议书的；</w:t>
      </w:r>
    </w:p>
    <w:p>
      <w:pPr>
        <w:pStyle w:val="63"/>
        <w:numPr>
          <w:ilvl w:val="0"/>
          <w:numId w:val="18"/>
        </w:numPr>
        <w:tabs>
          <w:tab w:val="left" w:pos="567"/>
        </w:tabs>
        <w:spacing w:line="360" w:lineRule="auto"/>
        <w:ind w:left="0" w:firstLine="0" w:firstLineChars="0"/>
        <w:rPr>
          <w:rFonts w:ascii="宋体" w:hAnsi="宋体"/>
          <w:bCs/>
          <w:color w:val="auto"/>
          <w:szCs w:val="21"/>
          <w:highlight w:val="none"/>
          <w:u w:val="single"/>
        </w:rPr>
      </w:pPr>
      <w:r>
        <w:rPr>
          <w:rFonts w:hint="eastAsia" w:ascii="宋体" w:hAnsi="宋体"/>
          <w:bCs/>
          <w:color w:val="auto"/>
          <w:szCs w:val="21"/>
          <w:highlight w:val="none"/>
        </w:rPr>
        <w:t>投标人以他人的名义投标或串通投标、弄虚作假、夸大内容投标的；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投标文件未加盖单位公章或未有法定代表人或者代理人签名的；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投标文件</w:t>
      </w:r>
      <w:r>
        <w:rPr>
          <w:rFonts w:hint="eastAsia" w:ascii="宋体" w:hAnsi="宋体" w:cs="Arial"/>
          <w:color w:val="auto"/>
          <w:szCs w:val="21"/>
          <w:highlight w:val="none"/>
        </w:rPr>
        <w:t>内容字迹模糊、无法辨认的</w:t>
      </w:r>
      <w:r>
        <w:rPr>
          <w:rFonts w:hint="eastAsia" w:ascii="宋体" w:hAnsi="宋体"/>
          <w:color w:val="auto"/>
          <w:szCs w:val="21"/>
          <w:highlight w:val="none"/>
        </w:rPr>
        <w:t>；</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招标文件有规定，实质上符合招标文件要求，但在个别地方存在遗漏或者提供了不完整的，评标委员会要求该投标人在评标结束前予以澄清、说明或补正，投标人拒绝澄清、说明或补正的；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投标人递交两份或多份内容不同的投标文件的（招标文件另有规定除外）；</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投标文件不满足招标文件规定数量的，或</w:t>
      </w:r>
      <w:r>
        <w:rPr>
          <w:rFonts w:hint="eastAsia" w:ascii="宋体" w:hAnsi="宋体"/>
          <w:bCs/>
          <w:color w:val="auto"/>
          <w:szCs w:val="21"/>
          <w:highlight w:val="none"/>
        </w:rPr>
        <w:t>投标文件的组成不符合招标文件规定</w:t>
      </w:r>
      <w:r>
        <w:rPr>
          <w:rFonts w:hint="eastAsia" w:ascii="宋体" w:hAnsi="宋体"/>
          <w:color w:val="auto"/>
          <w:szCs w:val="21"/>
          <w:highlight w:val="none"/>
        </w:rPr>
        <w:t>；</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lang w:val="zh-CN"/>
        </w:rPr>
        <w:t>投标人资格不符合招标文件要求的；或</w:t>
      </w:r>
      <w:r>
        <w:rPr>
          <w:rFonts w:hint="eastAsia" w:ascii="宋体" w:hAnsi="宋体"/>
          <w:color w:val="auto"/>
          <w:szCs w:val="21"/>
          <w:highlight w:val="none"/>
        </w:rPr>
        <w:t>投标文件上标明的投标人资格与提交投标保证金时的投标申请人资格发生实质性下降，已下降到低于招标文件要求的资格条件；或投标人名称与提交投标保证金时不一致的（有提供市场监督管理部门出具的相关变更证明的除外）；</w:t>
      </w:r>
    </w:p>
    <w:p>
      <w:pPr>
        <w:pStyle w:val="63"/>
        <w:numPr>
          <w:ilvl w:val="0"/>
          <w:numId w:val="18"/>
        </w:numPr>
        <w:tabs>
          <w:tab w:val="left" w:pos="567"/>
        </w:tabs>
        <w:spacing w:line="360" w:lineRule="auto"/>
        <w:ind w:left="0" w:firstLine="0" w:firstLineChars="0"/>
        <w:rPr>
          <w:rFonts w:ascii="宋体" w:hAnsi="宋体"/>
          <w:bCs/>
          <w:color w:val="auto"/>
          <w:szCs w:val="21"/>
          <w:highlight w:val="none"/>
          <w:u w:val="single"/>
        </w:rPr>
      </w:pPr>
      <w:r>
        <w:rPr>
          <w:rFonts w:hint="eastAsia" w:ascii="宋体" w:hAnsi="宋体"/>
          <w:color w:val="auto"/>
          <w:szCs w:val="21"/>
          <w:highlight w:val="none"/>
        </w:rPr>
        <w:t>投标报价有算术错误的，评标委员会根据招标文件约定对投标报价进行修正，修正的价格经投标人书面确认后具有约束力，投标人不接受修正价格的；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不按评标委员会要求澄清、说明或补正的；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投标报价汇总表没有依据本招标文件《投标文件格式》中附提供格式填写，或没有按要求加盖投标人公章以及由法定代表人或代理人签名的；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投标报价高于投标报价上限价的；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投标报价汇总表中没有单列绿色施工安全防护措施费的；或投标人的绿色施工安全防护措施费的报价低于招标文件公布的招标控制价中的绿色施工安全防护措施费用总额的；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未按招标文件要求提交齐全、合法、真实、有效的资料。</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投标人被列为“失信被执行人”的，或被列入“严重违法失信企业名单”的。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投标文件载明的招标项目完成期限超过招标文件规定的期限的</w:t>
      </w:r>
    </w:p>
    <w:p>
      <w:pPr>
        <w:pStyle w:val="63"/>
        <w:numPr>
          <w:ilvl w:val="0"/>
          <w:numId w:val="18"/>
        </w:numPr>
        <w:tabs>
          <w:tab w:val="left" w:pos="567"/>
        </w:tabs>
        <w:spacing w:line="360" w:lineRule="auto"/>
        <w:ind w:left="0" w:firstLine="0" w:firstLineChars="0"/>
        <w:rPr>
          <w:rFonts w:ascii="宋体" w:hAnsi="宋体"/>
          <w:color w:val="auto"/>
          <w:szCs w:val="21"/>
          <w:highlight w:val="none"/>
        </w:rPr>
      </w:pPr>
      <w:r>
        <w:rPr>
          <w:rFonts w:hint="eastAsia" w:ascii="宋体" w:hAnsi="宋体"/>
          <w:color w:val="auto"/>
          <w:szCs w:val="21"/>
          <w:highlight w:val="none"/>
        </w:rPr>
        <w:t>投标文件与原件不一致的。</w:t>
      </w:r>
    </w:p>
    <w:p>
      <w:pPr>
        <w:pStyle w:val="63"/>
        <w:numPr>
          <w:ilvl w:val="0"/>
          <w:numId w:val="18"/>
        </w:numPr>
        <w:tabs>
          <w:tab w:val="left" w:pos="567"/>
        </w:tabs>
        <w:spacing w:line="360" w:lineRule="auto"/>
        <w:ind w:left="0" w:firstLine="0" w:firstLineChars="0"/>
        <w:rPr>
          <w:rFonts w:ascii="宋体" w:hAnsi="宋体"/>
          <w:color w:val="auto"/>
          <w:szCs w:val="21"/>
          <w:highlight w:val="none"/>
          <w:lang w:val="zh-CN"/>
        </w:rPr>
      </w:pPr>
      <w:r>
        <w:rPr>
          <w:rFonts w:hint="eastAsia" w:ascii="宋体" w:hAnsi="宋体"/>
          <w:color w:val="auto"/>
          <w:szCs w:val="21"/>
          <w:highlight w:val="none"/>
          <w:lang w:val="zh-CN"/>
        </w:rPr>
        <w:t>投标文件内缺少有效的法定代表人身份证明，或者投标文件由代理人签署但投标文件内未附有效的法定代表人身份证明及授权委托书的。</w:t>
      </w:r>
    </w:p>
    <w:p>
      <w:pPr>
        <w:widowControl w:val="0"/>
        <w:tabs>
          <w:tab w:val="left" w:pos="540"/>
        </w:tabs>
        <w:spacing w:line="360" w:lineRule="auto"/>
        <w:rPr>
          <w:rFonts w:ascii="宋体" w:hAnsi="宋体"/>
          <w:b/>
          <w:bCs/>
          <w:color w:val="auto"/>
          <w:highlight w:val="none"/>
        </w:rPr>
      </w:pPr>
      <w:r>
        <w:rPr>
          <w:rFonts w:hint="eastAsia" w:ascii="宋体" w:hAnsi="宋体"/>
          <w:b/>
          <w:bCs/>
          <w:color w:val="auto"/>
          <w:highlight w:val="none"/>
        </w:rPr>
        <w:t>4.记名投票</w:t>
      </w:r>
    </w:p>
    <w:p>
      <w:pPr>
        <w:widowControl w:val="0"/>
        <w:tabs>
          <w:tab w:val="left" w:pos="540"/>
        </w:tabs>
        <w:spacing w:line="360" w:lineRule="auto"/>
        <w:ind w:firstLine="480" w:firstLineChars="200"/>
        <w:rPr>
          <w:rFonts w:ascii="宋体" w:hAnsi="宋体"/>
          <w:color w:val="auto"/>
          <w:highlight w:val="none"/>
        </w:rPr>
      </w:pPr>
      <w:r>
        <w:rPr>
          <w:rFonts w:hint="eastAsia" w:ascii="宋体" w:hAnsi="宋体"/>
          <w:color w:val="auto"/>
          <w:highlight w:val="none"/>
        </w:rPr>
        <w:t>在评标环节中，如遇争议部分需评标委员会做出表决的，由评标委员会全体成员按照少数服从多数的原则，以记名投票方式表决。</w:t>
      </w: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pStyle w:val="3"/>
        <w:pageBreakBefore/>
        <w:rPr>
          <w:rFonts w:ascii="宋体" w:hAnsi="宋体"/>
          <w:color w:val="auto"/>
          <w:szCs w:val="32"/>
          <w:highlight w:val="none"/>
        </w:rPr>
      </w:pPr>
      <w:bookmarkStart w:id="31" w:name="_Toc184635096"/>
      <w:bookmarkStart w:id="32" w:name="_Toc37255223"/>
      <w:bookmarkStart w:id="33" w:name="_Toc80020748"/>
      <w:r>
        <w:rPr>
          <w:rFonts w:hint="eastAsia" w:ascii="宋体" w:hAnsi="宋体"/>
          <w:color w:val="auto"/>
          <w:szCs w:val="32"/>
          <w:highlight w:val="none"/>
        </w:rPr>
        <w:t>第四章 合同条款及格式</w:t>
      </w:r>
      <w:bookmarkEnd w:id="31"/>
      <w:bookmarkEnd w:id="32"/>
      <w:bookmarkEnd w:id="33"/>
    </w:p>
    <w:p>
      <w:pPr>
        <w:spacing w:line="360" w:lineRule="auto"/>
        <w:ind w:firstLine="480" w:firstLineChars="200"/>
        <w:jc w:val="center"/>
        <w:rPr>
          <w:rFonts w:ascii="宋体" w:hAnsi="宋体"/>
          <w:color w:val="auto"/>
          <w:szCs w:val="21"/>
          <w:highlight w:val="none"/>
          <w:u w:val="single"/>
        </w:rPr>
      </w:pPr>
      <w:r>
        <w:rPr>
          <w:rFonts w:hint="eastAsia" w:ascii="宋体" w:hAnsi="宋体"/>
          <w:color w:val="auto"/>
          <w:szCs w:val="21"/>
          <w:highlight w:val="none"/>
          <w:u w:val="single"/>
        </w:rPr>
        <w:t>（以甲方提供的合同版本，经甲乙双方确认为准）</w:t>
      </w:r>
    </w:p>
    <w:p>
      <w:pPr>
        <w:widowControl w:val="0"/>
        <w:numPr>
          <w:ilvl w:val="0"/>
          <w:numId w:val="19"/>
        </w:numPr>
        <w:tabs>
          <w:tab w:val="left" w:pos="540"/>
          <w:tab w:val="clear" w:pos="970"/>
        </w:tabs>
        <w:spacing w:line="360" w:lineRule="auto"/>
        <w:ind w:left="540" w:hanging="540"/>
        <w:jc w:val="both"/>
        <w:rPr>
          <w:rFonts w:ascii="宋体" w:hAnsi="宋体"/>
          <w:bCs/>
          <w:color w:val="auto"/>
          <w:highlight w:val="none"/>
        </w:rPr>
      </w:pPr>
      <w:r>
        <w:rPr>
          <w:rFonts w:hint="eastAsia" w:ascii="宋体" w:hAnsi="宋体"/>
          <w:bCs/>
          <w:color w:val="auto"/>
          <w:highlight w:val="none"/>
        </w:rPr>
        <w:t>执行《建设工程施工合同（示范文本）》</w:t>
      </w:r>
    </w:p>
    <w:p>
      <w:pPr>
        <w:widowControl w:val="0"/>
        <w:numPr>
          <w:ilvl w:val="0"/>
          <w:numId w:val="19"/>
        </w:numPr>
        <w:tabs>
          <w:tab w:val="left" w:pos="540"/>
          <w:tab w:val="clear" w:pos="970"/>
        </w:tabs>
        <w:spacing w:line="360" w:lineRule="auto"/>
        <w:ind w:left="540" w:hanging="540"/>
        <w:jc w:val="both"/>
        <w:rPr>
          <w:rFonts w:ascii="宋体" w:hAnsi="宋体"/>
          <w:bCs/>
          <w:color w:val="auto"/>
          <w:highlight w:val="none"/>
        </w:rPr>
      </w:pPr>
      <w:r>
        <w:rPr>
          <w:rFonts w:hint="eastAsia" w:ascii="宋体" w:hAnsi="宋体"/>
          <w:bCs/>
          <w:color w:val="auto"/>
          <w:highlight w:val="none"/>
        </w:rPr>
        <w:t>本招标文件、补充说明、招标答疑、中标通知书和中标人的投标标函均作为合同文件的附件，具同等法律效力。</w:t>
      </w:r>
      <w:bookmarkStart w:id="34" w:name="_Toc278725689"/>
      <w:bookmarkStart w:id="35" w:name="_Toc277017122"/>
      <w:bookmarkStart w:id="36" w:name="_Toc277173642"/>
      <w:bookmarkStart w:id="37" w:name="_Toc278714823"/>
    </w:p>
    <w:bookmarkEnd w:id="34"/>
    <w:bookmarkEnd w:id="35"/>
    <w:bookmarkEnd w:id="36"/>
    <w:bookmarkEnd w:id="37"/>
    <w:p>
      <w:pPr>
        <w:pStyle w:val="2"/>
        <w:rPr>
          <w:color w:val="auto"/>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pStyle w:val="3"/>
        <w:rPr>
          <w:rFonts w:ascii="宋体" w:hAnsi="宋体"/>
          <w:color w:val="auto"/>
          <w:szCs w:val="32"/>
          <w:highlight w:val="none"/>
        </w:rPr>
      </w:pPr>
      <w:bookmarkStart w:id="38" w:name="_Toc41405385"/>
      <w:bookmarkStart w:id="39" w:name="_Toc80020749"/>
      <w:bookmarkStart w:id="40" w:name="_Toc15689"/>
      <w:bookmarkStart w:id="41" w:name="_Toc16916"/>
      <w:r>
        <w:rPr>
          <w:rFonts w:hint="eastAsia" w:ascii="宋体" w:hAnsi="宋体"/>
          <w:color w:val="auto"/>
          <w:szCs w:val="32"/>
          <w:highlight w:val="none"/>
        </w:rPr>
        <w:t>第五章 工程量清单及工程量清单计价</w:t>
      </w:r>
      <w:bookmarkEnd w:id="38"/>
      <w:bookmarkEnd w:id="39"/>
      <w:bookmarkEnd w:id="40"/>
      <w:bookmarkEnd w:id="41"/>
    </w:p>
    <w:p>
      <w:pPr>
        <w:rPr>
          <w:rFonts w:ascii="宋体" w:hAnsi="宋体"/>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1、一般规定</w:t>
      </w:r>
    </w:p>
    <w:p>
      <w:pPr>
        <w:spacing w:line="360" w:lineRule="auto"/>
        <w:rPr>
          <w:rFonts w:ascii="宋体" w:hAnsi="宋体"/>
          <w:color w:val="auto"/>
          <w:szCs w:val="21"/>
          <w:highlight w:val="none"/>
        </w:rPr>
      </w:pPr>
      <w:r>
        <w:rPr>
          <w:rFonts w:hint="eastAsia" w:ascii="宋体" w:hAnsi="宋体"/>
          <w:color w:val="auto"/>
          <w:szCs w:val="21"/>
          <w:highlight w:val="none"/>
        </w:rPr>
        <w:t>1.1采用工程量清单及工程量清单计价的应遵循有关工程量清单计价规范、工程量计算规范的国家标准及省、市建设主管部门的相关规定。</w:t>
      </w:r>
    </w:p>
    <w:p>
      <w:pPr>
        <w:spacing w:line="360" w:lineRule="auto"/>
        <w:rPr>
          <w:rFonts w:ascii="宋体" w:hAnsi="宋体"/>
          <w:b/>
          <w:color w:val="auto"/>
          <w:szCs w:val="21"/>
          <w:highlight w:val="none"/>
        </w:rPr>
      </w:pPr>
      <w:r>
        <w:rPr>
          <w:rFonts w:hint="eastAsia" w:ascii="宋体" w:hAnsi="宋体"/>
          <w:b/>
          <w:color w:val="auto"/>
          <w:szCs w:val="21"/>
          <w:highlight w:val="none"/>
        </w:rPr>
        <w:t>2、工程量清单说明</w:t>
      </w:r>
    </w:p>
    <w:p>
      <w:pPr>
        <w:spacing w:line="360" w:lineRule="auto"/>
        <w:rPr>
          <w:rFonts w:ascii="宋体" w:hAnsi="宋体"/>
          <w:color w:val="auto"/>
          <w:szCs w:val="21"/>
          <w:highlight w:val="none"/>
        </w:rPr>
      </w:pPr>
      <w:r>
        <w:rPr>
          <w:rFonts w:hint="eastAsia" w:ascii="宋体" w:hAnsi="宋体"/>
          <w:color w:val="auto"/>
          <w:szCs w:val="21"/>
          <w:highlight w:val="none"/>
        </w:rPr>
        <w:t>2.1工程量清单由</w:t>
      </w:r>
      <w:r>
        <w:rPr>
          <w:rFonts w:hint="eastAsia" w:ascii="宋体" w:hAnsi="宋体"/>
          <w:color w:val="auto"/>
          <w:szCs w:val="21"/>
          <w:highlight w:val="none"/>
          <w:u w:val="single"/>
        </w:rPr>
        <w:t>广东捷信工程咨询有限公司</w:t>
      </w:r>
      <w:r>
        <w:rPr>
          <w:rFonts w:hint="eastAsia" w:ascii="宋体" w:hAnsi="宋体"/>
          <w:color w:val="auto"/>
          <w:szCs w:val="21"/>
          <w:highlight w:val="none"/>
        </w:rPr>
        <w:t>编制，其准确性和完整性由招标人负责。</w:t>
      </w:r>
    </w:p>
    <w:p>
      <w:pPr>
        <w:spacing w:line="360" w:lineRule="auto"/>
        <w:rPr>
          <w:rFonts w:ascii="宋体" w:hAnsi="宋体"/>
          <w:color w:val="auto"/>
          <w:szCs w:val="21"/>
          <w:highlight w:val="none"/>
        </w:rPr>
      </w:pPr>
      <w:r>
        <w:rPr>
          <w:rFonts w:hint="eastAsia" w:ascii="宋体" w:hAnsi="宋体"/>
          <w:color w:val="auto"/>
          <w:szCs w:val="21"/>
          <w:highlight w:val="none"/>
        </w:rPr>
        <w:t>2.2 本工程量清单的主要编制依据包括但不限于下列内容：</w:t>
      </w:r>
    </w:p>
    <w:p>
      <w:pPr>
        <w:numPr>
          <w:ilvl w:val="0"/>
          <w:numId w:val="20"/>
        </w:num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根据图纸计算工程量，算量根据建设单位提供的《三乡西山社区数字乡村项目》施工图；</w:t>
      </w:r>
    </w:p>
    <w:p>
      <w:pPr>
        <w:numPr>
          <w:ilvl w:val="0"/>
          <w:numId w:val="20"/>
        </w:num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计价依据执行《建设工程工程量清单计价规范(GB50500-2013)》、《广东省建设工程计价依据（2018）》；</w:t>
      </w:r>
    </w:p>
    <w:p>
      <w:pPr>
        <w:numPr>
          <w:ilvl w:val="0"/>
          <w:numId w:val="20"/>
        </w:num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计价定额执行《广东省建筑与装饰工程综合定额（2018年）》、《广东省通用安装工程综合定额（2018年）》、《广东省建筑与装饰修缮工程综合定额(2012)》、《广东省市政工程综合定额及广州市补充定额(2018)》；</w:t>
      </w:r>
    </w:p>
    <w:p>
      <w:pPr>
        <w:numPr>
          <w:ilvl w:val="0"/>
          <w:numId w:val="20"/>
        </w:num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主要材料价格按中山市建设工程造价事务中心公布的2021年9月份材料价格信息计算，中山市材料价格信息中没有的材料参照周边城市公布的材料价格信息计算，或采用供应商相关报价及市场询价计算；</w:t>
      </w:r>
    </w:p>
    <w:p>
      <w:pPr>
        <w:spacing w:line="360" w:lineRule="auto"/>
        <w:rPr>
          <w:rFonts w:ascii="宋体" w:hAnsi="宋体"/>
          <w:color w:val="auto"/>
          <w:szCs w:val="21"/>
          <w:highlight w:val="none"/>
        </w:rPr>
      </w:pPr>
      <w:r>
        <w:rPr>
          <w:rFonts w:hint="eastAsia" w:ascii="宋体" w:hAnsi="宋体"/>
          <w:color w:val="auto"/>
          <w:szCs w:val="21"/>
          <w:highlight w:val="none"/>
        </w:rPr>
        <w:t>2.3 本工程量清单应与招标文件中投标人须知、合同条款、技术标准和要求、图纸及有关工程量清单计价规范、工程量计算规范的国家标准等一起阅读和理解。</w:t>
      </w:r>
    </w:p>
    <w:p>
      <w:pPr>
        <w:spacing w:line="360" w:lineRule="auto"/>
        <w:rPr>
          <w:rFonts w:ascii="宋体" w:hAnsi="宋体"/>
          <w:color w:val="auto"/>
          <w:szCs w:val="21"/>
          <w:highlight w:val="none"/>
        </w:rPr>
      </w:pPr>
      <w:r>
        <w:rPr>
          <w:rFonts w:hint="eastAsia" w:ascii="宋体" w:hAnsi="宋体"/>
          <w:color w:val="auto"/>
          <w:szCs w:val="21"/>
          <w:highlight w:val="none"/>
        </w:rPr>
        <w:t>2.4 本工程量清单标明的工程量是投标报价的共同基础。实际工程计量和工程价款的支付应遵循合同条款的约定和 “技术标准和要求”的有关规定。</w:t>
      </w:r>
    </w:p>
    <w:p>
      <w:pPr>
        <w:spacing w:line="360" w:lineRule="auto"/>
        <w:rPr>
          <w:rFonts w:ascii="宋体" w:hAnsi="宋体"/>
          <w:color w:val="auto"/>
          <w:szCs w:val="21"/>
          <w:highlight w:val="none"/>
          <w:u w:val="single"/>
          <w:shd w:val="clear" w:color="FFFFFF" w:fill="D9D9D9"/>
        </w:rPr>
      </w:pPr>
      <w:r>
        <w:rPr>
          <w:rFonts w:hint="eastAsia" w:ascii="宋体" w:hAnsi="宋体"/>
          <w:color w:val="auto"/>
          <w:szCs w:val="21"/>
          <w:highlight w:val="none"/>
        </w:rPr>
        <w:t>2.5 补充的工程量清单已按有关工程量清单计价规范、工程量计算规范的国家标准的要求编制。其项目编码、项目名称、项目特征、计量单位、工程量计算规则、工程内容的说明如下：</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2.6、分部分项工程量清单（包括可采用分部分项工程量清单方式编制的可以计算工程量的措施项目）已公布项目编码、项目名称、项目特征、计量单位、工程量。（公布的项目特征为项目的主要特征或工作内容，次要的特征或工作内容虽未具体说明，但均已考虑在内）</w:t>
      </w:r>
    </w:p>
    <w:p>
      <w:pPr>
        <w:spacing w:line="360" w:lineRule="auto"/>
        <w:rPr>
          <w:rFonts w:ascii="宋体" w:hAnsi="宋体"/>
          <w:color w:val="auto"/>
          <w:szCs w:val="21"/>
          <w:highlight w:val="none"/>
          <w:shd w:val="clear" w:color="FFFFFF" w:fill="D9D9D9"/>
        </w:rPr>
      </w:pPr>
      <w:r>
        <w:rPr>
          <w:rFonts w:hint="eastAsia" w:ascii="宋体" w:hAnsi="宋体"/>
          <w:color w:val="auto"/>
          <w:szCs w:val="21"/>
          <w:highlight w:val="none"/>
        </w:rPr>
        <w:t>2.7 暂列金额的数量及有关说明：</w:t>
      </w:r>
      <w:r>
        <w:rPr>
          <w:rFonts w:hint="eastAsia" w:ascii="宋体" w:hAnsi="宋体"/>
          <w:color w:val="auto"/>
          <w:szCs w:val="21"/>
          <w:highlight w:val="none"/>
          <w:u w:val="single"/>
        </w:rPr>
        <w:t xml:space="preserve">                     /                    </w:t>
      </w:r>
      <w:r>
        <w:rPr>
          <w:rFonts w:hint="eastAsia" w:ascii="宋体" w:hAnsi="宋体"/>
          <w:color w:val="auto"/>
          <w:szCs w:val="21"/>
          <w:highlight w:val="none"/>
          <w:u w:val="single"/>
          <w:shd w:val="clear" w:color="FFFFFF" w:fill="D9D9D9"/>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2.8 计日工的数量及有关说明：</w:t>
      </w:r>
      <w:r>
        <w:rPr>
          <w:rFonts w:hint="eastAsia" w:ascii="宋体" w:hAnsi="宋体"/>
          <w:color w:val="auto"/>
          <w:szCs w:val="21"/>
          <w:highlight w:val="none"/>
          <w:u w:val="single"/>
        </w:rPr>
        <w:t xml:space="preserve">                   /                  </w:t>
      </w:r>
    </w:p>
    <w:p>
      <w:pPr>
        <w:spacing w:line="360" w:lineRule="auto"/>
        <w:rPr>
          <w:rFonts w:ascii="宋体" w:hAnsi="宋体"/>
          <w:color w:val="auto"/>
          <w:szCs w:val="21"/>
          <w:highlight w:val="none"/>
        </w:rPr>
      </w:pPr>
      <w:r>
        <w:rPr>
          <w:rFonts w:hint="eastAsia" w:ascii="宋体" w:hAnsi="宋体"/>
          <w:color w:val="auto"/>
          <w:szCs w:val="21"/>
          <w:highlight w:val="none"/>
        </w:rPr>
        <w:t>2.9 暂估价的内容、数量及有关说明：</w:t>
      </w:r>
      <w:r>
        <w:rPr>
          <w:rFonts w:hint="eastAsia" w:ascii="宋体" w:hAnsi="宋体"/>
          <w:color w:val="auto"/>
          <w:szCs w:val="21"/>
          <w:highlight w:val="none"/>
          <w:u w:val="single"/>
        </w:rPr>
        <w:t xml:space="preserve">                  /                        </w:t>
      </w:r>
      <w:r>
        <w:rPr>
          <w:rFonts w:hint="eastAsia" w:ascii="宋体" w:hAnsi="宋体"/>
          <w:color w:val="auto"/>
          <w:szCs w:val="21"/>
          <w:highlight w:val="none"/>
        </w:rPr>
        <w:t>2.10 其他需要说明的事项：</w:t>
      </w:r>
      <w:r>
        <w:rPr>
          <w:rFonts w:hint="eastAsia" w:ascii="宋体" w:hAnsi="宋体"/>
          <w:color w:val="auto"/>
          <w:szCs w:val="21"/>
          <w:highlight w:val="none"/>
          <w:u w:val="single"/>
        </w:rPr>
        <w:t xml:space="preserve">   （工程量清单编制说明中重要的内容可在此说明）      </w:t>
      </w:r>
      <w:r>
        <w:rPr>
          <w:rFonts w:hint="eastAsia" w:ascii="宋体" w:hAnsi="宋体"/>
          <w:color w:val="auto"/>
          <w:szCs w:val="21"/>
          <w:highlight w:val="none"/>
          <w:u w:val="single"/>
          <w:shd w:val="clear" w:color="FFFFFF" w:fill="D9D9D9"/>
        </w:rPr>
        <w:t xml:space="preserve">           </w:t>
      </w:r>
      <w:r>
        <w:rPr>
          <w:rFonts w:hint="eastAsia" w:ascii="宋体" w:hAnsi="宋体"/>
          <w:color w:val="auto"/>
          <w:szCs w:val="21"/>
          <w:highlight w:val="none"/>
          <w:u w:val="single"/>
        </w:rPr>
        <w:t xml:space="preserve">                              </w:t>
      </w:r>
    </w:p>
    <w:p>
      <w:pPr>
        <w:spacing w:line="360" w:lineRule="auto"/>
        <w:rPr>
          <w:rFonts w:ascii="宋体" w:hAnsi="宋体"/>
          <w:b/>
          <w:color w:val="auto"/>
          <w:szCs w:val="21"/>
          <w:highlight w:val="none"/>
        </w:rPr>
      </w:pPr>
      <w:r>
        <w:rPr>
          <w:rFonts w:hint="eastAsia" w:ascii="宋体" w:hAnsi="宋体"/>
          <w:b/>
          <w:color w:val="auto"/>
          <w:szCs w:val="21"/>
          <w:highlight w:val="none"/>
        </w:rPr>
        <w:t>3、投标报价上限价说明</w:t>
      </w:r>
    </w:p>
    <w:p>
      <w:pPr>
        <w:spacing w:line="360" w:lineRule="auto"/>
        <w:rPr>
          <w:rFonts w:ascii="宋体" w:hAnsi="宋体"/>
          <w:color w:val="auto"/>
          <w:szCs w:val="21"/>
          <w:highlight w:val="none"/>
        </w:rPr>
      </w:pPr>
      <w:r>
        <w:rPr>
          <w:rFonts w:hint="eastAsia" w:ascii="宋体" w:hAnsi="宋体"/>
          <w:color w:val="auto"/>
          <w:szCs w:val="21"/>
          <w:highlight w:val="none"/>
        </w:rPr>
        <w:t>3.1 投标报价上限价参照《关于加强政府投资建设工程项目施工招标投标管理的通知》（中府【2009】138号文）的有关规定及建设行政主管部门公布的“政府投资建设工程项目施工招标投标报价上限及警戒值一览表”设置。</w:t>
      </w:r>
    </w:p>
    <w:p>
      <w:pPr>
        <w:spacing w:line="360" w:lineRule="auto"/>
        <w:rPr>
          <w:rFonts w:ascii="宋体" w:hAnsi="宋体"/>
          <w:b/>
          <w:color w:val="auto"/>
          <w:szCs w:val="21"/>
          <w:highlight w:val="none"/>
        </w:rPr>
      </w:pPr>
      <w:r>
        <w:rPr>
          <w:rFonts w:hint="eastAsia" w:ascii="宋体" w:hAnsi="宋体"/>
          <w:b/>
          <w:color w:val="auto"/>
          <w:szCs w:val="21"/>
          <w:highlight w:val="none"/>
        </w:rPr>
        <w:t>4、工程量清单投标报价说明</w:t>
      </w:r>
    </w:p>
    <w:p>
      <w:pPr>
        <w:spacing w:line="360" w:lineRule="auto"/>
        <w:rPr>
          <w:rFonts w:ascii="宋体" w:hAnsi="宋体"/>
          <w:color w:val="auto"/>
          <w:szCs w:val="21"/>
          <w:highlight w:val="none"/>
        </w:rPr>
      </w:pPr>
      <w:r>
        <w:rPr>
          <w:rFonts w:hint="eastAsia" w:ascii="宋体" w:hAnsi="宋体"/>
          <w:color w:val="auto"/>
          <w:szCs w:val="21"/>
          <w:highlight w:val="none"/>
        </w:rPr>
        <w:t>4.1 工程量清单投标报价应按3.1.1的要求签字盖章。</w:t>
      </w:r>
    </w:p>
    <w:p>
      <w:pPr>
        <w:spacing w:line="360" w:lineRule="auto"/>
        <w:rPr>
          <w:rFonts w:ascii="宋体" w:hAnsi="宋体"/>
          <w:color w:val="auto"/>
          <w:szCs w:val="21"/>
          <w:highlight w:val="none"/>
        </w:rPr>
      </w:pPr>
      <w:r>
        <w:rPr>
          <w:rFonts w:hint="eastAsia" w:ascii="宋体" w:hAnsi="宋体"/>
          <w:color w:val="auto"/>
          <w:szCs w:val="21"/>
          <w:highlight w:val="none"/>
        </w:rPr>
        <w:t>4.2 每一个工程量清单须填入单价和合价，且只允许有一个报价。若没有填入单价和合价的，视为已包含在工程量清单的其他单价和合价中。</w:t>
      </w:r>
    </w:p>
    <w:p>
      <w:pPr>
        <w:spacing w:line="360" w:lineRule="auto"/>
        <w:rPr>
          <w:rFonts w:ascii="宋体" w:hAnsi="宋体"/>
          <w:color w:val="auto"/>
          <w:szCs w:val="21"/>
          <w:highlight w:val="none"/>
        </w:rPr>
      </w:pPr>
      <w:r>
        <w:rPr>
          <w:rFonts w:hint="eastAsia" w:ascii="宋体" w:hAnsi="宋体"/>
          <w:color w:val="auto"/>
          <w:szCs w:val="21"/>
          <w:highlight w:val="none"/>
        </w:rPr>
        <w:t>4.3 分部分项工程量清单、措施项目清单的单价或金额应包括所需的人工费、材料费、施工机具使用费和企业管理费与利润，以及招标文件和第四章“合同条款及格式”约定的风险内容及其范围（幅度）。</w:t>
      </w:r>
    </w:p>
    <w:p>
      <w:pPr>
        <w:spacing w:line="360" w:lineRule="auto"/>
        <w:rPr>
          <w:rFonts w:ascii="宋体" w:hAnsi="宋体"/>
          <w:color w:val="auto"/>
          <w:szCs w:val="21"/>
          <w:highlight w:val="none"/>
        </w:rPr>
      </w:pPr>
      <w:r>
        <w:rPr>
          <w:rFonts w:hint="eastAsia" w:ascii="宋体" w:hAnsi="宋体"/>
          <w:color w:val="auto"/>
          <w:szCs w:val="21"/>
          <w:highlight w:val="none"/>
        </w:rPr>
        <w:t>4.4绿色施工安全防护措施费用应按国家或省、市建设主管部门的规定计价且不得低于招标人公布的绿色施工安全防护措施费用。</w:t>
      </w:r>
    </w:p>
    <w:p>
      <w:pPr>
        <w:spacing w:line="360" w:lineRule="auto"/>
        <w:rPr>
          <w:rFonts w:ascii="宋体" w:hAnsi="宋体"/>
          <w:color w:val="auto"/>
          <w:szCs w:val="21"/>
          <w:highlight w:val="none"/>
        </w:rPr>
      </w:pPr>
      <w:r>
        <w:rPr>
          <w:rFonts w:hint="eastAsia" w:ascii="宋体" w:hAnsi="宋体"/>
          <w:color w:val="auto"/>
          <w:szCs w:val="21"/>
          <w:highlight w:val="none"/>
        </w:rPr>
        <w:t>4.5 规费和税金应按国家或省、市相关部门的规定计价。</w:t>
      </w:r>
    </w:p>
    <w:p>
      <w:pPr>
        <w:spacing w:line="360" w:lineRule="auto"/>
        <w:rPr>
          <w:rFonts w:ascii="宋体" w:hAnsi="宋体"/>
          <w:color w:val="auto"/>
          <w:szCs w:val="21"/>
          <w:highlight w:val="none"/>
        </w:rPr>
      </w:pPr>
      <w:r>
        <w:rPr>
          <w:rFonts w:hint="eastAsia" w:ascii="宋体" w:hAnsi="宋体"/>
          <w:color w:val="auto"/>
          <w:szCs w:val="21"/>
          <w:highlight w:val="none"/>
        </w:rPr>
        <w:t>4.6 投标报价的明细程度应至综合单价分析表。</w:t>
      </w:r>
    </w:p>
    <w:p>
      <w:pPr>
        <w:spacing w:line="360" w:lineRule="auto"/>
        <w:rPr>
          <w:rFonts w:ascii="宋体" w:hAnsi="宋体"/>
          <w:color w:val="auto"/>
          <w:szCs w:val="21"/>
          <w:highlight w:val="none"/>
        </w:rPr>
      </w:pPr>
      <w:r>
        <w:rPr>
          <w:rFonts w:hint="eastAsia" w:ascii="宋体" w:hAnsi="宋体"/>
          <w:color w:val="auto"/>
          <w:szCs w:val="21"/>
          <w:highlight w:val="none"/>
        </w:rPr>
        <w:t>4.7投标报价应包括材料价格明细表或按招标文件的要求提供相应的材料价格表。</w:t>
      </w:r>
    </w:p>
    <w:p>
      <w:pPr>
        <w:spacing w:line="360" w:lineRule="auto"/>
        <w:rPr>
          <w:rFonts w:ascii="宋体" w:hAnsi="宋体"/>
          <w:b/>
          <w:color w:val="auto"/>
          <w:szCs w:val="21"/>
          <w:highlight w:val="none"/>
        </w:rPr>
      </w:pPr>
      <w:bookmarkStart w:id="42" w:name="_Toc184635130"/>
      <w:r>
        <w:rPr>
          <w:rFonts w:hint="eastAsia" w:ascii="宋体" w:hAnsi="宋体"/>
          <w:b/>
          <w:color w:val="auto"/>
          <w:szCs w:val="21"/>
          <w:highlight w:val="none"/>
        </w:rPr>
        <w:t>5、其他说明</w:t>
      </w:r>
    </w:p>
    <w:p>
      <w:pPr>
        <w:spacing w:line="360" w:lineRule="auto"/>
        <w:rPr>
          <w:rFonts w:ascii="宋体" w:hAnsi="宋体"/>
          <w:color w:val="auto"/>
          <w:szCs w:val="21"/>
          <w:highlight w:val="none"/>
        </w:rPr>
      </w:pPr>
      <w:r>
        <w:rPr>
          <w:rFonts w:hint="eastAsia" w:ascii="宋体" w:hAnsi="宋体"/>
          <w:color w:val="auto"/>
          <w:szCs w:val="21"/>
          <w:highlight w:val="none"/>
        </w:rPr>
        <w:t xml:space="preserve">   工程量清单计价表格组成及格式按有关工程量清单计价规范、工程量计算规范的国家标准的规定选用（须与招标文件同时发出）。</w:t>
      </w:r>
    </w:p>
    <w:p>
      <w:pPr>
        <w:pStyle w:val="2"/>
        <w:rPr>
          <w:rFonts w:ascii="宋体" w:hAnsi="宋体"/>
          <w:color w:val="auto"/>
          <w:szCs w:val="36"/>
          <w:highlight w:val="none"/>
        </w:rPr>
      </w:pPr>
      <w:r>
        <w:rPr>
          <w:rFonts w:hint="eastAsia" w:ascii="宋体" w:hAnsi="宋体"/>
          <w:color w:val="auto"/>
          <w:kern w:val="44"/>
          <w:sz w:val="32"/>
          <w:szCs w:val="44"/>
          <w:highlight w:val="none"/>
        </w:rPr>
        <w:br w:type="page"/>
      </w:r>
      <w:bookmarkStart w:id="43" w:name="_Toc80020750"/>
      <w:r>
        <w:rPr>
          <w:rFonts w:hint="eastAsia" w:ascii="宋体" w:hAnsi="宋体"/>
          <w:color w:val="auto"/>
          <w:kern w:val="44"/>
          <w:szCs w:val="36"/>
          <w:highlight w:val="none"/>
        </w:rPr>
        <w:t>第六章 图纸</w:t>
      </w:r>
      <w:bookmarkEnd w:id="42"/>
      <w:bookmarkEnd w:id="43"/>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u w:val="single"/>
        </w:rPr>
        <w:t xml:space="preserve">                               见附件图纸                                                 </w:t>
      </w: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bookmarkEnd w:id="1"/>
    <w:p>
      <w:pPr>
        <w:widowControl w:val="0"/>
        <w:spacing w:line="360" w:lineRule="auto"/>
        <w:ind w:firstLine="280" w:firstLineChars="117"/>
        <w:rPr>
          <w:rFonts w:ascii="宋体" w:hAnsi="宋体"/>
          <w:color w:val="auto"/>
          <w:szCs w:val="21"/>
          <w:highlight w:val="none"/>
        </w:rPr>
      </w:pPr>
    </w:p>
    <w:p>
      <w:pPr>
        <w:widowControl w:val="0"/>
        <w:spacing w:line="360" w:lineRule="auto"/>
        <w:ind w:firstLine="280" w:firstLineChars="117"/>
        <w:rPr>
          <w:rFonts w:ascii="宋体" w:hAnsi="宋体"/>
          <w:color w:val="auto"/>
          <w:szCs w:val="21"/>
          <w:highlight w:val="none"/>
        </w:rPr>
      </w:pPr>
    </w:p>
    <w:p>
      <w:pPr>
        <w:widowControl w:val="0"/>
        <w:spacing w:line="360" w:lineRule="auto"/>
        <w:ind w:firstLine="280" w:firstLineChars="117"/>
        <w:rPr>
          <w:rFonts w:ascii="宋体" w:hAnsi="宋体"/>
          <w:color w:val="auto"/>
          <w:szCs w:val="21"/>
          <w:highlight w:val="none"/>
        </w:rPr>
      </w:pPr>
    </w:p>
    <w:p>
      <w:pPr>
        <w:widowControl w:val="0"/>
        <w:spacing w:line="360" w:lineRule="auto"/>
        <w:ind w:firstLine="280" w:firstLineChars="117"/>
        <w:rPr>
          <w:rFonts w:ascii="宋体" w:hAnsi="宋体"/>
          <w:color w:val="auto"/>
          <w:szCs w:val="21"/>
          <w:highlight w:val="none"/>
        </w:rPr>
      </w:pPr>
    </w:p>
    <w:p>
      <w:pPr>
        <w:widowControl w:val="0"/>
        <w:spacing w:line="360" w:lineRule="auto"/>
        <w:ind w:left="-94" w:firstLine="425"/>
        <w:jc w:val="both"/>
        <w:rPr>
          <w:rFonts w:ascii="宋体" w:hAnsi="宋体"/>
          <w:color w:val="auto"/>
          <w:highlight w:val="none"/>
        </w:rPr>
      </w:pPr>
    </w:p>
    <w:p>
      <w:pPr>
        <w:widowControl w:val="0"/>
        <w:spacing w:line="360" w:lineRule="auto"/>
        <w:ind w:left="-94" w:firstLine="425"/>
        <w:jc w:val="both"/>
        <w:rPr>
          <w:rFonts w:ascii="宋体" w:hAnsi="宋体"/>
          <w:color w:val="auto"/>
          <w:highlight w:val="none"/>
        </w:rPr>
      </w:pPr>
    </w:p>
    <w:p>
      <w:pPr>
        <w:widowControl w:val="0"/>
        <w:spacing w:line="360" w:lineRule="auto"/>
        <w:ind w:left="-94" w:firstLine="425"/>
        <w:jc w:val="both"/>
        <w:rPr>
          <w:rFonts w:ascii="宋体" w:hAnsi="宋体"/>
          <w:color w:val="auto"/>
          <w:highlight w:val="none"/>
        </w:rPr>
      </w:pPr>
    </w:p>
    <w:p>
      <w:pPr>
        <w:pStyle w:val="2"/>
        <w:jc w:val="center"/>
        <w:rPr>
          <w:rFonts w:ascii="宋体" w:hAnsi="宋体"/>
          <w:color w:val="auto"/>
          <w:highlight w:val="none"/>
        </w:rPr>
      </w:pPr>
      <w:r>
        <w:rPr>
          <w:rFonts w:hint="eastAsia" w:ascii="宋体" w:hAnsi="宋体"/>
          <w:color w:val="auto"/>
          <w:highlight w:val="none"/>
        </w:rPr>
        <w:br w:type="page"/>
      </w:r>
      <w:bookmarkStart w:id="44" w:name="_Toc80020751"/>
      <w:r>
        <w:rPr>
          <w:rFonts w:hint="eastAsia" w:ascii="宋体" w:hAnsi="宋体"/>
          <w:color w:val="auto"/>
          <w:kern w:val="44"/>
          <w:szCs w:val="36"/>
          <w:highlight w:val="none"/>
        </w:rPr>
        <w:t>第七章 投标文件格式</w:t>
      </w:r>
      <w:bookmarkEnd w:id="44"/>
    </w:p>
    <w:p>
      <w:pPr>
        <w:spacing w:line="360" w:lineRule="auto"/>
        <w:jc w:val="right"/>
        <w:rPr>
          <w:rFonts w:ascii="宋体" w:hAnsi="宋体"/>
          <w:color w:val="auto"/>
          <w:szCs w:val="21"/>
          <w:highlight w:val="none"/>
        </w:rPr>
      </w:pPr>
      <w:r>
        <w:rPr>
          <w:rFonts w:hint="eastAsia" w:ascii="宋体" w:hAnsi="宋体"/>
          <w:color w:val="auto"/>
          <w:szCs w:val="21"/>
          <w:highlight w:val="none"/>
        </w:rPr>
        <w:t>正本（副本）</w:t>
      </w:r>
    </w:p>
    <w:p>
      <w:pPr>
        <w:spacing w:line="360" w:lineRule="auto"/>
        <w:jc w:val="right"/>
        <w:rPr>
          <w:rFonts w:ascii="宋体" w:hAnsi="宋体"/>
          <w:color w:val="auto"/>
          <w:szCs w:val="21"/>
          <w:highlight w:val="none"/>
        </w:rPr>
      </w:pPr>
    </w:p>
    <w:p>
      <w:pPr>
        <w:spacing w:line="360" w:lineRule="auto"/>
        <w:ind w:firstLine="2570" w:firstLineChars="800"/>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（项目名称）</w:t>
      </w:r>
    </w:p>
    <w:p>
      <w:pPr>
        <w:spacing w:line="360" w:lineRule="auto"/>
        <w:ind w:firstLine="480" w:firstLineChars="200"/>
        <w:rPr>
          <w:rFonts w:ascii="宋体" w:hAnsi="宋体"/>
          <w:color w:val="auto"/>
          <w:szCs w:val="21"/>
          <w:highlight w:val="none"/>
        </w:rPr>
      </w:pPr>
    </w:p>
    <w:p>
      <w:pPr>
        <w:spacing w:line="360" w:lineRule="auto"/>
        <w:ind w:firstLine="1440" w:firstLineChars="200"/>
        <w:jc w:val="center"/>
        <w:rPr>
          <w:rFonts w:ascii="宋体" w:hAnsi="宋体"/>
          <w:color w:val="auto"/>
          <w:sz w:val="72"/>
          <w:szCs w:val="72"/>
          <w:highlight w:val="none"/>
        </w:rPr>
      </w:pPr>
      <w:r>
        <w:rPr>
          <w:rFonts w:hint="eastAsia" w:ascii="宋体" w:hAnsi="宋体"/>
          <w:color w:val="auto"/>
          <w:sz w:val="72"/>
          <w:szCs w:val="72"/>
          <w:highlight w:val="none"/>
        </w:rPr>
        <w:t>投 标 文 件</w:t>
      </w: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960" w:firstLineChars="200"/>
        <w:jc w:val="center"/>
        <w:rPr>
          <w:rFonts w:ascii="宋体" w:hAnsi="宋体"/>
          <w:dstrike/>
          <w:color w:val="auto"/>
          <w:sz w:val="48"/>
          <w:szCs w:val="48"/>
          <w:highlight w:val="none"/>
        </w:rPr>
      </w:pPr>
    </w:p>
    <w:p>
      <w:pPr>
        <w:spacing w:line="360" w:lineRule="auto"/>
        <w:jc w:val="center"/>
        <w:outlineLvl w:val="0"/>
        <w:rPr>
          <w:rFonts w:ascii="宋体" w:hAnsi="宋体"/>
          <w:color w:val="auto"/>
          <w:sz w:val="48"/>
          <w:szCs w:val="48"/>
          <w:highlight w:val="none"/>
        </w:rPr>
      </w:pPr>
      <w:bookmarkStart w:id="45" w:name="_Toc30653"/>
      <w:r>
        <w:rPr>
          <w:rFonts w:hint="eastAsia" w:ascii="宋体" w:hAnsi="宋体"/>
          <w:color w:val="auto"/>
          <w:sz w:val="48"/>
          <w:szCs w:val="48"/>
          <w:highlight w:val="none"/>
        </w:rPr>
        <w:t>基本资料</w:t>
      </w:r>
      <w:bookmarkEnd w:id="45"/>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pPr>
        <w:spacing w:line="360" w:lineRule="auto"/>
        <w:ind w:firstLine="560" w:firstLineChars="200"/>
        <w:rPr>
          <w:rFonts w:ascii="宋体" w:hAnsi="宋体"/>
          <w:color w:val="auto"/>
          <w:sz w:val="28"/>
          <w:szCs w:val="28"/>
          <w:highlight w:val="none"/>
        </w:rPr>
      </w:pPr>
    </w:p>
    <w:p>
      <w:pPr>
        <w:spacing w:line="360" w:lineRule="auto"/>
        <w:ind w:firstLine="1960" w:firstLineChars="700"/>
        <w:rPr>
          <w:rFonts w:ascii="宋体" w:hAnsi="宋体"/>
          <w:color w:val="auto"/>
          <w:sz w:val="28"/>
          <w:szCs w:val="28"/>
          <w:highlight w:val="none"/>
        </w:rPr>
      </w:pPr>
      <w:r>
        <w:rPr>
          <w:rFonts w:hint="eastAsia" w:ascii="宋体" w:hAnsi="宋体"/>
          <w:color w:val="auto"/>
          <w:sz w:val="28"/>
          <w:szCs w:val="28"/>
          <w:highlight w:val="none"/>
        </w:rPr>
        <w:t>法定代表人或其代理人：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w:t>
      </w:r>
    </w:p>
    <w:p>
      <w:pPr>
        <w:spacing w:line="360" w:lineRule="auto"/>
        <w:jc w:val="center"/>
        <w:rPr>
          <w:rFonts w:ascii="宋体" w:hAnsi="宋体"/>
          <w:color w:val="auto"/>
          <w:szCs w:val="21"/>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Cs w:val="21"/>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说明：本封面仅供参考，格式由投标人自定，但必须包括项目名称、“正本”或“副本”字样、“投标文件”字样、投标人名称、投标人单位公章、投标人法定代表人或其</w:t>
      </w:r>
      <w:r>
        <w:rPr>
          <w:rFonts w:hint="eastAsia" w:ascii="宋体" w:hAnsi="宋体"/>
          <w:bCs/>
          <w:color w:val="auto"/>
          <w:highlight w:val="none"/>
        </w:rPr>
        <w:t>代理人</w:t>
      </w:r>
      <w:r>
        <w:rPr>
          <w:rFonts w:hint="eastAsia" w:ascii="宋体" w:hAnsi="宋体"/>
          <w:color w:val="auto"/>
          <w:szCs w:val="21"/>
          <w:highlight w:val="none"/>
        </w:rPr>
        <w:t>签字。</w:t>
      </w:r>
    </w:p>
    <w:p>
      <w:pPr>
        <w:spacing w:line="360" w:lineRule="auto"/>
        <w:rPr>
          <w:rFonts w:ascii="宋体" w:hAnsi="宋体"/>
          <w:color w:val="auto"/>
          <w:szCs w:val="21"/>
          <w:highlight w:val="none"/>
        </w:rPr>
        <w:sectPr>
          <w:pgSz w:w="11906" w:h="16838"/>
          <w:pgMar w:top="1418" w:right="1134" w:bottom="1418" w:left="1418" w:header="851" w:footer="992" w:gutter="0"/>
          <w:cols w:space="720" w:num="1"/>
          <w:docGrid w:linePitch="312" w:charSpace="0"/>
        </w:sect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widowControl w:val="0"/>
        <w:tabs>
          <w:tab w:val="left" w:pos="540"/>
        </w:tabs>
        <w:spacing w:line="360" w:lineRule="auto"/>
        <w:ind w:firstLine="480" w:firstLineChars="200"/>
        <w:rPr>
          <w:rFonts w:ascii="宋体" w:hAnsi="宋体"/>
          <w:color w:val="auto"/>
          <w:szCs w:val="21"/>
          <w:highlight w:val="none"/>
        </w:rPr>
      </w:pPr>
    </w:p>
    <w:p>
      <w:pPr>
        <w:widowControl w:val="0"/>
        <w:numPr>
          <w:ilvl w:val="0"/>
          <w:numId w:val="21"/>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有效法定代表人身份证明（原件）</w:t>
      </w:r>
    </w:p>
    <w:p>
      <w:pPr>
        <w:widowControl w:val="0"/>
        <w:numPr>
          <w:ilvl w:val="0"/>
          <w:numId w:val="21"/>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授权委托人身份证及授权委托书（原件）（适用于有代理人的情况）</w:t>
      </w:r>
    </w:p>
    <w:p>
      <w:pPr>
        <w:widowControl w:val="0"/>
        <w:numPr>
          <w:ilvl w:val="0"/>
          <w:numId w:val="21"/>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承诺书</w:t>
      </w:r>
    </w:p>
    <w:p>
      <w:pPr>
        <w:widowControl w:val="0"/>
        <w:numPr>
          <w:ilvl w:val="0"/>
          <w:numId w:val="21"/>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有效的营业执照</w:t>
      </w:r>
    </w:p>
    <w:p>
      <w:pPr>
        <w:widowControl w:val="0"/>
        <w:numPr>
          <w:ilvl w:val="0"/>
          <w:numId w:val="21"/>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资质证书</w:t>
      </w:r>
    </w:p>
    <w:p>
      <w:pPr>
        <w:widowControl w:val="0"/>
        <w:numPr>
          <w:ilvl w:val="0"/>
          <w:numId w:val="21"/>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安全生产许可证</w:t>
      </w:r>
    </w:p>
    <w:p>
      <w:pPr>
        <w:widowControl w:val="0"/>
        <w:numPr>
          <w:ilvl w:val="0"/>
          <w:numId w:val="21"/>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《信用中国》网站的信用报告</w:t>
      </w:r>
    </w:p>
    <w:p>
      <w:pPr>
        <w:snapToGrid w:val="0"/>
        <w:spacing w:line="360" w:lineRule="auto"/>
        <w:ind w:right="420" w:firstLine="5301" w:firstLineChars="2200"/>
        <w:rPr>
          <w:rFonts w:ascii="宋体" w:hAnsi="宋体"/>
          <w:color w:val="auto"/>
          <w:szCs w:val="21"/>
          <w:highlight w:val="none"/>
        </w:rPr>
      </w:pPr>
      <w:r>
        <w:rPr>
          <w:rFonts w:ascii="宋体" w:hAnsi="宋体"/>
          <w:b/>
          <w:color w:val="auto"/>
          <w:highlight w:val="none"/>
        </w:rPr>
        <w:br w:type="page"/>
      </w:r>
    </w:p>
    <w:p>
      <w:pPr>
        <w:spacing w:line="360" w:lineRule="auto"/>
        <w:jc w:val="center"/>
        <w:rPr>
          <w:rFonts w:ascii="宋体" w:hAnsi="宋体"/>
          <w:b/>
          <w:color w:val="auto"/>
          <w:highlight w:val="none"/>
        </w:rPr>
      </w:pPr>
    </w:p>
    <w:p>
      <w:pPr>
        <w:numPr>
          <w:ilvl w:val="0"/>
          <w:numId w:val="22"/>
        </w:numPr>
        <w:spacing w:line="360" w:lineRule="auto"/>
        <w:jc w:val="center"/>
        <w:rPr>
          <w:rFonts w:ascii="宋体" w:hAnsi="宋体"/>
          <w:b/>
          <w:color w:val="auto"/>
          <w:highlight w:val="none"/>
        </w:rPr>
      </w:pPr>
      <w:r>
        <w:rPr>
          <w:rFonts w:hint="eastAsia" w:ascii="宋体" w:hAnsi="宋体"/>
          <w:b/>
          <w:color w:val="auto"/>
          <w:highlight w:val="none"/>
        </w:rPr>
        <w:t>法定代表人身份证明</w:t>
      </w: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_</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的法定代表人。</w:t>
      </w:r>
    </w:p>
    <w:p>
      <w:pPr>
        <w:spacing w:line="360" w:lineRule="auto"/>
        <w:ind w:firstLine="960" w:firstLineChars="400"/>
        <w:rPr>
          <w:rFonts w:ascii="宋体" w:hAnsi="宋体"/>
          <w:color w:val="auto"/>
          <w:szCs w:val="21"/>
          <w:highlight w:val="none"/>
        </w:rPr>
      </w:pPr>
      <w:r>
        <w:rPr>
          <w:rFonts w:hint="eastAsia" w:ascii="宋体" w:hAnsi="宋体"/>
          <w:color w:val="auto"/>
          <w:szCs w:val="21"/>
          <w:highlight w:val="none"/>
        </w:rPr>
        <w:t>特此证明。</w:t>
      </w: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pPr>
        <w:pStyle w:val="2"/>
        <w:rPr>
          <w:color w:val="auto"/>
          <w:highlight w:val="none"/>
        </w:rPr>
      </w:pPr>
      <w:r>
        <w:rPr>
          <w:rFonts w:ascii="宋体" w:hAnsi="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456565</wp:posOffset>
                </wp:positionV>
                <wp:extent cx="5143500" cy="2335530"/>
                <wp:effectExtent l="5080" t="4445" r="13970" b="22225"/>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43500" cy="2335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rPr>
                                <w:i/>
                                <w:color w:val="999999"/>
                              </w:rPr>
                            </w:pPr>
                            <w:r>
                              <w:rPr>
                                <w:rFonts w:hint="eastAsia"/>
                                <w:i/>
                                <w:color w:val="999999"/>
                              </w:rPr>
                              <w:t>法定代表人身份证正、反面复印件</w:t>
                            </w:r>
                          </w:p>
                        </w:txbxContent>
                      </wps:txbx>
                      <wps:bodyPr upright="1"/>
                    </wps:wsp>
                  </a:graphicData>
                </a:graphic>
              </wp:anchor>
            </w:drawing>
          </mc:Choice>
          <mc:Fallback>
            <w:pict>
              <v:rect id="_x0000_s1026" o:spid="_x0000_s1026" o:spt="1" style="position:absolute;left:0pt;margin-left:30.3pt;margin-top:35.95pt;height:183.9pt;width:405pt;z-index:251659264;mso-width-relative:page;mso-height-relative:page;" fillcolor="#FFFFFF" filled="t" stroked="t" coordsize="21600,21600" o:gfxdata="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9wAwdcAAAAJ&#10;AQAADwAAAAAAAAABACAAAAAiAAAAZHJzL2Rvd25yZXYueG1sUEsBAhQAFAAAAAgAh07iQD3iZd0d&#10;AgAAZAQAAA4AAAAAAAAAAQAgAAAAJgEAAGRycy9lMm9Eb2MueG1sUEsFBgAAAAAGAAYAWQEAALUF&#10;AAAAAA==&#10;">
                <v:fill on="t" focussize="0,0"/>
                <v:stroke color="#000000" joinstyle="miter"/>
                <v:imagedata o:title=""/>
                <o:lock v:ext="edit" aspectratio="t"/>
                <v:textbox>
                  <w:txbxContent>
                    <w:p/>
                    <w:p/>
                    <w:p/>
                    <w:p/>
                    <w:p/>
                    <w:p>
                      <w:pPr>
                        <w:jc w:val="center"/>
                        <w:rPr>
                          <w:i/>
                          <w:color w:val="999999"/>
                        </w:rPr>
                      </w:pPr>
                      <w:r>
                        <w:rPr>
                          <w:rFonts w:hint="eastAsia"/>
                          <w:i/>
                          <w:color w:val="999999"/>
                        </w:rPr>
                        <w:t>法定代表人身份证正、反面复印件</w:t>
                      </w:r>
                    </w:p>
                  </w:txbxContent>
                </v:textbox>
              </v:rect>
            </w:pict>
          </mc:Fallback>
        </mc:AlternateContent>
      </w:r>
    </w:p>
    <w:p>
      <w:pPr>
        <w:spacing w:line="360" w:lineRule="auto"/>
        <w:ind w:firstLine="480" w:firstLineChars="200"/>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color w:val="auto"/>
          <w:highlight w:val="none"/>
        </w:rPr>
      </w:pPr>
    </w:p>
    <w:p>
      <w:pPr>
        <w:spacing w:line="360" w:lineRule="auto"/>
        <w:jc w:val="right"/>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5160" w:firstLineChars="2150"/>
        <w:rPr>
          <w:rFonts w:ascii="宋体" w:hAnsi="宋体"/>
          <w:color w:val="auto"/>
          <w:szCs w:val="21"/>
          <w:highlight w:val="none"/>
          <w:u w:val="single"/>
        </w:rPr>
      </w:pPr>
    </w:p>
    <w:p>
      <w:pPr>
        <w:spacing w:line="360" w:lineRule="auto"/>
        <w:ind w:firstLine="5160" w:firstLineChars="21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80" w:firstLineChars="200"/>
        <w:rPr>
          <w:rFonts w:ascii="宋体" w:hAnsi="宋体"/>
          <w:color w:val="auto"/>
          <w:szCs w:val="21"/>
          <w:highlight w:val="none"/>
        </w:rPr>
        <w:sectPr>
          <w:pgSz w:w="11906" w:h="16838"/>
          <w:pgMar w:top="1418" w:right="1134" w:bottom="1418" w:left="1418" w:header="851" w:footer="992" w:gutter="0"/>
          <w:cols w:space="720" w:num="1"/>
          <w:docGrid w:linePitch="312" w:charSpace="0"/>
        </w:sectPr>
      </w:pPr>
    </w:p>
    <w:p>
      <w:pPr>
        <w:numPr>
          <w:ilvl w:val="0"/>
          <w:numId w:val="22"/>
        </w:numPr>
        <w:spacing w:line="360" w:lineRule="auto"/>
        <w:jc w:val="center"/>
        <w:rPr>
          <w:rFonts w:ascii="宋体" w:hAnsi="宋体"/>
          <w:b/>
          <w:color w:val="auto"/>
          <w:highlight w:val="none"/>
        </w:rPr>
      </w:pPr>
      <w:r>
        <w:rPr>
          <w:rFonts w:hint="eastAsia" w:ascii="宋体" w:hAnsi="宋体"/>
          <w:b/>
          <w:color w:val="auto"/>
          <w:highlight w:val="none"/>
        </w:rPr>
        <w:t>授权委托书</w:t>
      </w:r>
    </w:p>
    <w:p>
      <w:pPr>
        <w:spacing w:line="360" w:lineRule="auto"/>
        <w:ind w:firstLine="360" w:firstLineChars="150"/>
        <w:rPr>
          <w:rFonts w:ascii="宋体" w:hAnsi="宋体"/>
          <w:color w:val="auto"/>
          <w:szCs w:val="21"/>
          <w:highlight w:val="none"/>
        </w:rPr>
      </w:pPr>
    </w:p>
    <w:p>
      <w:pPr>
        <w:spacing w:line="360" w:lineRule="auto"/>
        <w:ind w:firstLine="360" w:firstLineChars="150"/>
        <w:rPr>
          <w:rFonts w:ascii="宋体" w:hAnsi="宋体"/>
          <w:color w:val="auto"/>
          <w:kern w:val="10"/>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（姓名）为我方代理人。代理人根据授权，以我方名义签署、澄清确认、说明、补正、递交、撤回、修改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（项目名称）投标文件、签订合同和处理有关事宜</w:t>
      </w:r>
      <w:r>
        <w:rPr>
          <w:rFonts w:hint="eastAsia" w:ascii="宋体" w:hAnsi="宋体"/>
          <w:color w:val="auto"/>
          <w:kern w:val="10"/>
          <w:szCs w:val="21"/>
          <w:highlight w:val="none"/>
        </w:rPr>
        <w:t>，其法律后果由我方承担。</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至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lang w:val="zh-CN"/>
        </w:rPr>
        <w:t>委托期限</w:t>
      </w:r>
      <w:r>
        <w:rPr>
          <w:rFonts w:hint="eastAsia" w:ascii="宋体" w:hAnsi="宋体"/>
          <w:color w:val="auto"/>
          <w:szCs w:val="21"/>
          <w:highlight w:val="none"/>
        </w:rPr>
        <w:t>建议</w:t>
      </w:r>
      <w:r>
        <w:rPr>
          <w:rFonts w:hint="eastAsia" w:ascii="宋体" w:hAnsi="宋体"/>
          <w:color w:val="auto"/>
          <w:szCs w:val="21"/>
          <w:highlight w:val="none"/>
          <w:lang w:val="zh-CN"/>
        </w:rPr>
        <w:t>不少于投标有效期。</w:t>
      </w:r>
      <w:r>
        <w:rPr>
          <w:rFonts w:hint="eastAsia" w:ascii="宋体" w:hAnsi="宋体"/>
          <w:color w:val="auto"/>
          <w:szCs w:val="21"/>
          <w:highlight w:val="none"/>
        </w:rPr>
        <w:t>）</w:t>
      </w: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代理人无转委托权。</w:t>
      </w: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附：受托人身份证复印件</w:t>
      </w:r>
    </w:p>
    <w:p>
      <w:pPr>
        <w:spacing w:line="360" w:lineRule="auto"/>
        <w:jc w:val="both"/>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211455</wp:posOffset>
                </wp:positionV>
                <wp:extent cx="5143500" cy="2314575"/>
                <wp:effectExtent l="5080" t="4445" r="13970" b="5080"/>
                <wp:wrapNone/>
                <wp:docPr id="1"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43500" cy="2314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rPr>
                                <w:i/>
                                <w:color w:val="999999"/>
                              </w:rPr>
                            </w:pPr>
                            <w:r>
                              <w:rPr>
                                <w:rFonts w:hint="eastAsia"/>
                                <w:i/>
                                <w:color w:val="999999"/>
                              </w:rPr>
                              <w:t>被授权人身份证正、反面复印件</w:t>
                            </w:r>
                          </w:p>
                        </w:txbxContent>
                      </wps:txbx>
                      <wps:bodyPr upright="1"/>
                    </wps:wsp>
                  </a:graphicData>
                </a:graphic>
              </wp:anchor>
            </w:drawing>
          </mc:Choice>
          <mc:Fallback>
            <w:pict>
              <v:rect id="矩形 3" o:spid="_x0000_s1026" o:spt="1" style="position:absolute;left:0pt;margin-left:29.55pt;margin-top:16.65pt;height:182.25pt;width:405pt;z-index:251661312;mso-width-relative:page;mso-height-relative:page;" fillcolor="#FFFFFF" filled="t" stroked="t" coordsize="21600,21600" o:gfxdata="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no1L3XAAAACQEA&#10;AA8AAAAAAAAAAQAgAAAAIgAAAGRycy9kb3ducmV2LnhtbFBLAQIUABQAAAAIAIdO4kCQLqv7GwIA&#10;AGQEAAAOAAAAAAAAAAEAIAAAACYBAABkcnMvZTJvRG9jLnhtbFBLBQYAAAAABgAGAFkBAACzBQAA&#10;AAA=&#10;">
                <v:fill on="t" focussize="0,0"/>
                <v:stroke color="#000000" joinstyle="miter"/>
                <v:imagedata o:title=""/>
                <o:lock v:ext="edit" aspectratio="t"/>
                <v:textbox>
                  <w:txbxContent>
                    <w:p/>
                    <w:p/>
                    <w:p/>
                    <w:p/>
                    <w:p/>
                    <w:p>
                      <w:pPr>
                        <w:jc w:val="center"/>
                        <w:rPr>
                          <w:i/>
                          <w:color w:val="999999"/>
                        </w:rPr>
                      </w:pPr>
                      <w:r>
                        <w:rPr>
                          <w:rFonts w:hint="eastAsia"/>
                          <w:i/>
                          <w:color w:val="999999"/>
                        </w:rPr>
                        <w:t>被授权人身份证正、反面复印件</w:t>
                      </w:r>
                    </w:p>
                  </w:txbxContent>
                </v:textbox>
              </v:rect>
            </w:pict>
          </mc:Fallback>
        </mc:AlternateContent>
      </w: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r>
        <w:rPr>
          <w:rFonts w:hint="eastAsia" w:ascii="宋体" w:hAnsi="宋体"/>
          <w:color w:val="auto"/>
          <w:szCs w:val="21"/>
          <w:highlight w:val="none"/>
        </w:rPr>
        <w:t xml:space="preserve"> 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jc w:val="right"/>
        <w:rPr>
          <w:rFonts w:ascii="宋体" w:hAnsi="宋体"/>
          <w:color w:val="auto"/>
          <w:szCs w:val="21"/>
          <w:highlight w:val="none"/>
        </w:rPr>
      </w:pPr>
    </w:p>
    <w:p>
      <w:pPr>
        <w:spacing w:line="360" w:lineRule="auto"/>
        <w:jc w:val="center"/>
        <w:rPr>
          <w:rFonts w:ascii="宋体" w:hAnsi="宋体"/>
          <w:color w:val="auto"/>
          <w:szCs w:val="21"/>
          <w:highlight w:val="none"/>
        </w:rPr>
      </w:pP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jc w:val="center"/>
        <w:rPr>
          <w:rFonts w:ascii="宋体" w:hAnsi="宋体"/>
          <w:color w:val="auto"/>
          <w:szCs w:val="21"/>
          <w:highlight w:val="none"/>
        </w:rPr>
      </w:pPr>
    </w:p>
    <w:p>
      <w:pPr>
        <w:spacing w:line="360" w:lineRule="auto"/>
        <w:ind w:right="560"/>
        <w:rPr>
          <w:rFonts w:ascii="宋体" w:hAnsi="宋体"/>
          <w:color w:val="auto"/>
          <w:szCs w:val="21"/>
          <w:highlight w:val="none"/>
          <w:u w:val="single"/>
        </w:rPr>
      </w:pPr>
      <w:r>
        <w:rPr>
          <w:rFonts w:hint="eastAsia" w:ascii="宋体" w:hAnsi="宋体"/>
          <w:color w:val="auto"/>
          <w:szCs w:val="21"/>
          <w:highlight w:val="none"/>
        </w:rPr>
        <w:t xml:space="preserve">                                           身份证号码：</w:t>
      </w:r>
      <w:r>
        <w:rPr>
          <w:rFonts w:hint="eastAsia" w:ascii="宋体" w:hAnsi="宋体"/>
          <w:color w:val="auto"/>
          <w:szCs w:val="21"/>
          <w:highlight w:val="none"/>
          <w:u w:val="single"/>
        </w:rPr>
        <w:t xml:space="preserve">                              </w:t>
      </w:r>
    </w:p>
    <w:p>
      <w:pPr>
        <w:spacing w:line="360" w:lineRule="auto"/>
        <w:ind w:right="560"/>
        <w:rPr>
          <w:rFonts w:ascii="宋体" w:hAnsi="宋体"/>
          <w:color w:val="auto"/>
          <w:szCs w:val="21"/>
          <w:highlight w:val="none"/>
          <w:u w:val="single"/>
        </w:rPr>
      </w:pPr>
    </w:p>
    <w:p>
      <w:pPr>
        <w:spacing w:line="360" w:lineRule="auto"/>
        <w:jc w:val="center"/>
        <w:rPr>
          <w:rFonts w:ascii="宋体" w:hAnsi="宋体"/>
          <w:color w:val="auto"/>
          <w:szCs w:val="21"/>
          <w:highlight w:val="none"/>
        </w:rPr>
      </w:pPr>
      <w:r>
        <w:rPr>
          <w:rFonts w:hint="eastAsia" w:ascii="宋体" w:hAnsi="宋体"/>
          <w:color w:val="auto"/>
          <w:szCs w:val="21"/>
          <w:highlight w:val="none"/>
        </w:rPr>
        <w:t xml:space="preserve">                                          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jc w:val="center"/>
        <w:rPr>
          <w:rFonts w:ascii="宋体" w:hAnsi="宋体"/>
          <w:color w:val="auto"/>
          <w:szCs w:val="21"/>
          <w:highlight w:val="none"/>
        </w:rPr>
      </w:pPr>
    </w:p>
    <w:p>
      <w:pPr>
        <w:spacing w:line="360" w:lineRule="auto"/>
        <w:ind w:right="1120" w:firstLine="5160" w:firstLineChars="215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numPr>
          <w:ilvl w:val="0"/>
          <w:numId w:val="22"/>
        </w:numPr>
        <w:spacing w:line="360" w:lineRule="auto"/>
        <w:jc w:val="center"/>
        <w:rPr>
          <w:rFonts w:ascii="宋体" w:hAnsi="宋体" w:cs="宋体"/>
          <w:b/>
          <w:color w:val="auto"/>
          <w:highlight w:val="none"/>
        </w:rPr>
      </w:pPr>
      <w:r>
        <w:rPr>
          <w:rFonts w:hint="eastAsia" w:ascii="宋体" w:hAnsi="宋体"/>
          <w:color w:val="auto"/>
          <w:szCs w:val="21"/>
          <w:highlight w:val="none"/>
          <w:u w:val="single"/>
        </w:rPr>
        <w:br w:type="page"/>
      </w:r>
      <w:r>
        <w:rPr>
          <w:rFonts w:hint="eastAsia" w:ascii="宋体" w:hAnsi="宋体" w:cs="宋体"/>
          <w:b/>
          <w:color w:val="auto"/>
          <w:highlight w:val="none"/>
        </w:rPr>
        <w:t>承  诺  书</w:t>
      </w:r>
    </w:p>
    <w:p>
      <w:pPr>
        <w:widowControl w:val="0"/>
        <w:snapToGrid w:val="0"/>
        <w:spacing w:line="360" w:lineRule="auto"/>
        <w:rPr>
          <w:rFonts w:ascii="宋体" w:hAnsi="宋体" w:cs="宋体"/>
          <w:color w:val="auto"/>
          <w:highlight w:val="none"/>
        </w:rPr>
      </w:pPr>
      <w:r>
        <w:rPr>
          <w:rFonts w:hint="eastAsia" w:ascii="宋体" w:hAnsi="宋体" w:cs="宋体"/>
          <w:color w:val="auto"/>
          <w:highlight w:val="none"/>
          <w:u w:val="single"/>
        </w:rPr>
        <w:t xml:space="preserve">   （招标人）               </w:t>
      </w:r>
      <w:r>
        <w:rPr>
          <w:rFonts w:hint="eastAsia" w:ascii="宋体" w:hAnsi="宋体" w:cs="宋体"/>
          <w:color w:val="auto"/>
          <w:highlight w:val="none"/>
        </w:rPr>
        <w:t>：</w:t>
      </w:r>
    </w:p>
    <w:p>
      <w:pPr>
        <w:widowControl w:val="0"/>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根据 </w:t>
      </w:r>
      <w:r>
        <w:rPr>
          <w:rFonts w:hint="eastAsia" w:ascii="宋体" w:hAnsi="宋体" w:cs="宋体"/>
          <w:color w:val="auto"/>
          <w:highlight w:val="none"/>
          <w:u w:val="single"/>
        </w:rPr>
        <w:t xml:space="preserve">        项目名称              </w:t>
      </w:r>
      <w:r>
        <w:rPr>
          <w:rFonts w:hint="eastAsia" w:ascii="宋体" w:hAnsi="宋体" w:cs="宋体"/>
          <w:color w:val="auto"/>
          <w:highlight w:val="none"/>
        </w:rPr>
        <w:t>招标文件、招标答疑要求和内容，我公司全面响应，严格按照招标文件精神及施工图纸进行施工，并作出郑重承诺：</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 xml:space="preserve">我方不存在招标文件第二章“投标人须知”第1.4.3项所规定的任何一种情形，否则招标人有权取消我方的中标资格。 </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我方未在“信用中国”网站（www.creditchina.gov.cn）被列为失信被执行人、未在国家企业信用信息公示系统被列入“严重违法失信企业名单”。</w:t>
      </w:r>
    </w:p>
    <w:p>
      <w:pPr>
        <w:numPr>
          <w:ilvl w:val="0"/>
          <w:numId w:val="23"/>
        </w:numPr>
        <w:spacing w:line="360" w:lineRule="auto"/>
        <w:rPr>
          <w:rFonts w:ascii="宋体" w:hAnsi="宋体" w:cs="宋体"/>
          <w:color w:val="auto"/>
          <w:kern w:val="2"/>
          <w:highlight w:val="none"/>
        </w:rPr>
      </w:pPr>
      <w:r>
        <w:rPr>
          <w:rFonts w:hint="eastAsia" w:ascii="宋体" w:hAnsi="宋体" w:cs="宋体"/>
          <w:color w:val="auto"/>
          <w:highlight w:val="none"/>
        </w:rPr>
        <w:t>我方保证在本项目投标中不与其他单位串通投标、不以行贿手段谋取中标、不挂靠或者借用资质投标，不胁迫其他潜在投标人放弃投标，不胁迫中标人放弃中标、转让中标项目。</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lang w:val="zh-CN"/>
        </w:rPr>
        <w:t>我方保证所递交的投标文件及其后所提供的一切资料内容完整、真实、合法、有效。如我方成为本项目的中标候选人，我方同意并授权招标人将我方投标文件按法定要求进行公开。</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施工工期：</w:t>
      </w:r>
      <w:r>
        <w:rPr>
          <w:rFonts w:hint="eastAsia" w:ascii="宋体" w:hAnsi="宋体" w:cs="宋体"/>
          <w:color w:val="auto"/>
          <w:kern w:val="2"/>
          <w:highlight w:val="none"/>
          <w:u w:val="single"/>
        </w:rPr>
        <w:t xml:space="preserve">      </w:t>
      </w:r>
      <w:r>
        <w:rPr>
          <w:rFonts w:hint="eastAsia" w:ascii="宋体" w:hAnsi="宋体" w:cs="宋体"/>
          <w:color w:val="auto"/>
          <w:kern w:val="2"/>
          <w:highlight w:val="none"/>
        </w:rPr>
        <w:t>日历天</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工程质量：合格</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施工安全：合格</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文明施工：合格</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投标有效期：</w:t>
      </w:r>
      <w:r>
        <w:rPr>
          <w:rFonts w:hint="eastAsia" w:ascii="宋体" w:hAnsi="宋体" w:cs="宋体"/>
          <w:color w:val="auto"/>
          <w:kern w:val="2"/>
          <w:highlight w:val="none"/>
          <w:u w:val="single"/>
        </w:rPr>
        <w:t>90</w:t>
      </w:r>
      <w:r>
        <w:rPr>
          <w:rFonts w:hint="eastAsia" w:ascii="宋体" w:hAnsi="宋体" w:cs="宋体"/>
          <w:color w:val="auto"/>
          <w:kern w:val="2"/>
          <w:highlight w:val="none"/>
        </w:rPr>
        <w:t>天</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技术标准和要求：</w:t>
      </w:r>
    </w:p>
    <w:p>
      <w:pPr>
        <w:widowControl w:val="0"/>
        <w:spacing w:line="360" w:lineRule="auto"/>
        <w:ind w:left="400"/>
        <w:rPr>
          <w:rFonts w:ascii="宋体" w:hAnsi="宋体" w:cs="宋体"/>
          <w:color w:val="auto"/>
          <w:kern w:val="2"/>
          <w:highlight w:val="none"/>
        </w:rPr>
      </w:pPr>
      <w:r>
        <w:rPr>
          <w:rFonts w:hint="eastAsia" w:ascii="宋体" w:hAnsi="宋体" w:cs="宋体"/>
          <w:color w:val="auto"/>
          <w:kern w:val="2"/>
          <w:highlight w:val="none"/>
        </w:rPr>
        <w:t>（保证按招标文件的技术标准和要求完成本项目，否则作不良行为处理。）</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分包企业需经招标人同意并满足前附表要求（该条款仅适用允许分包的项目）。</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rPr>
        <w:t>如果我方中标，我司将严格执行《关于印发&lt;广东省建设工程领域工人工资支付专用账户管理办法&gt;的通知》（粤人社规[2018]14号）以及中山市工程建设领域有关农民工工资管理的规定。</w:t>
      </w:r>
    </w:p>
    <w:p>
      <w:pPr>
        <w:widowControl w:val="0"/>
        <w:numPr>
          <w:ilvl w:val="0"/>
          <w:numId w:val="23"/>
        </w:numPr>
        <w:spacing w:line="360" w:lineRule="auto"/>
        <w:rPr>
          <w:rFonts w:ascii="宋体" w:hAnsi="宋体" w:cs="宋体"/>
          <w:color w:val="auto"/>
          <w:kern w:val="2"/>
          <w:highlight w:val="none"/>
        </w:rPr>
      </w:pPr>
      <w:r>
        <w:rPr>
          <w:rFonts w:hint="eastAsia" w:ascii="宋体" w:hAnsi="宋体" w:cs="宋体"/>
          <w:color w:val="auto"/>
          <w:kern w:val="2"/>
          <w:highlight w:val="none"/>
          <w:lang w:val="zh-CN"/>
        </w:rPr>
        <w:t>我方违反上述承诺、保证，或上述声明与事实不符，一经查实，我方愿意接受中山市建设行政主管部门记录不良行为，承担由此产生的一切责任。</w:t>
      </w:r>
    </w:p>
    <w:p>
      <w:pPr>
        <w:widowControl w:val="0"/>
        <w:snapToGrid w:val="0"/>
        <w:spacing w:line="360" w:lineRule="auto"/>
        <w:ind w:right="420" w:firstLine="5280" w:firstLineChars="2200"/>
        <w:rPr>
          <w:rFonts w:ascii="宋体" w:hAnsi="宋体" w:cs="宋体"/>
          <w:color w:val="auto"/>
          <w:highlight w:val="none"/>
        </w:rPr>
      </w:pPr>
      <w:r>
        <w:rPr>
          <w:rFonts w:hint="eastAsia" w:ascii="宋体" w:hAnsi="宋体" w:cs="宋体"/>
          <w:color w:val="auto"/>
          <w:highlight w:val="none"/>
        </w:rPr>
        <w:t>承 诺 单 位 (公章)：</w:t>
      </w:r>
    </w:p>
    <w:p>
      <w:pPr>
        <w:widowControl w:val="0"/>
        <w:snapToGrid w:val="0"/>
        <w:spacing w:line="360" w:lineRule="auto"/>
        <w:ind w:right="420" w:firstLine="5280" w:firstLineChars="2200"/>
        <w:rPr>
          <w:rFonts w:ascii="宋体" w:hAnsi="宋体" w:cs="宋体"/>
          <w:color w:val="auto"/>
          <w:highlight w:val="none"/>
        </w:rPr>
      </w:pPr>
      <w:r>
        <w:rPr>
          <w:rFonts w:hint="eastAsia" w:ascii="宋体" w:hAnsi="宋体" w:cs="宋体"/>
          <w:color w:val="auto"/>
          <w:highlight w:val="none"/>
        </w:rPr>
        <w:t>法定代表人或代理人 (签字) ：</w:t>
      </w:r>
    </w:p>
    <w:p>
      <w:pPr>
        <w:widowControl w:val="0"/>
        <w:tabs>
          <w:tab w:val="left" w:pos="5520"/>
        </w:tabs>
        <w:spacing w:line="360" w:lineRule="auto"/>
        <w:ind w:left="5280" w:leftChars="2200" w:right="840"/>
        <w:jc w:val="both"/>
        <w:rPr>
          <w:rFonts w:ascii="宋体" w:hAnsi="宋体" w:cs="宋体"/>
          <w:color w:val="auto"/>
          <w:highlight w:val="none"/>
        </w:rPr>
      </w:pPr>
      <w:r>
        <w:rPr>
          <w:rFonts w:hint="eastAsia" w:ascii="宋体" w:hAnsi="宋体" w:cs="宋体"/>
          <w:color w:val="auto"/>
          <w:highlight w:val="none"/>
        </w:rPr>
        <w:t>日   期：</w:t>
      </w:r>
    </w:p>
    <w:p>
      <w:pPr>
        <w:spacing w:line="360" w:lineRule="auto"/>
        <w:ind w:firstLine="480" w:firstLineChars="200"/>
        <w:rPr>
          <w:rFonts w:ascii="宋体" w:hAnsi="宋体"/>
          <w:color w:val="auto"/>
          <w:szCs w:val="21"/>
          <w:highlight w:val="none"/>
        </w:rPr>
        <w:sectPr>
          <w:pgSz w:w="11906" w:h="16838"/>
          <w:pgMar w:top="1276" w:right="1134" w:bottom="1134" w:left="1418" w:header="851" w:footer="401" w:gutter="0"/>
          <w:cols w:space="720" w:num="1"/>
          <w:docGrid w:linePitch="312" w:charSpace="0"/>
        </w:sectPr>
      </w:pPr>
    </w:p>
    <w:p>
      <w:pPr>
        <w:widowControl w:val="0"/>
        <w:numPr>
          <w:ilvl w:val="0"/>
          <w:numId w:val="24"/>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有效的营业执照</w:t>
      </w:r>
    </w:p>
    <w:p>
      <w:pPr>
        <w:widowControl w:val="0"/>
        <w:numPr>
          <w:ilvl w:val="0"/>
          <w:numId w:val="24"/>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资质证书</w:t>
      </w:r>
    </w:p>
    <w:p>
      <w:pPr>
        <w:widowControl w:val="0"/>
        <w:numPr>
          <w:ilvl w:val="0"/>
          <w:numId w:val="24"/>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安全生产许可证</w:t>
      </w:r>
    </w:p>
    <w:p>
      <w:pPr>
        <w:widowControl w:val="0"/>
        <w:numPr>
          <w:ilvl w:val="0"/>
          <w:numId w:val="24"/>
        </w:numPr>
        <w:tabs>
          <w:tab w:val="left" w:pos="540"/>
        </w:tabs>
        <w:spacing w:line="360" w:lineRule="auto"/>
        <w:rPr>
          <w:rFonts w:ascii="宋体" w:hAnsi="宋体"/>
          <w:color w:val="auto"/>
          <w:szCs w:val="21"/>
          <w:highlight w:val="none"/>
        </w:rPr>
      </w:pPr>
      <w:r>
        <w:rPr>
          <w:rFonts w:hint="eastAsia" w:ascii="宋体" w:hAnsi="宋体"/>
          <w:color w:val="auto"/>
          <w:szCs w:val="21"/>
          <w:highlight w:val="none"/>
        </w:rPr>
        <w:t>《信用中国》网站的信用报告、</w:t>
      </w:r>
      <w:r>
        <w:rPr>
          <w:rFonts w:hint="eastAsia" w:ascii="宋体" w:hAnsi="宋体" w:cs="宋体"/>
          <w:color w:val="auto"/>
          <w:kern w:val="2"/>
          <w:highlight w:val="none"/>
        </w:rPr>
        <w:t>国家企业信用信息公示系统网站截图</w:t>
      </w:r>
    </w:p>
    <w:p>
      <w:pPr>
        <w:pStyle w:val="6"/>
        <w:rPr>
          <w:color w:val="auto"/>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widowControl w:val="0"/>
        <w:tabs>
          <w:tab w:val="left" w:pos="540"/>
        </w:tabs>
        <w:spacing w:line="360" w:lineRule="auto"/>
        <w:ind w:firstLine="480" w:firstLineChars="200"/>
        <w:rPr>
          <w:rFonts w:ascii="宋体" w:hAnsi="宋体"/>
          <w:color w:val="auto"/>
          <w:szCs w:val="21"/>
          <w:highlight w:val="none"/>
        </w:rPr>
      </w:pPr>
    </w:p>
    <w:p>
      <w:pPr>
        <w:spacing w:line="360" w:lineRule="auto"/>
        <w:jc w:val="both"/>
        <w:rPr>
          <w:rFonts w:ascii="宋体" w:hAnsi="宋体"/>
          <w:color w:val="auto"/>
          <w:szCs w:val="21"/>
          <w:highlight w:val="none"/>
        </w:rPr>
        <w:sectPr>
          <w:pgSz w:w="11906" w:h="16838"/>
          <w:pgMar w:top="1418" w:right="1134" w:bottom="1418" w:left="1418" w:header="851" w:footer="992" w:gutter="0"/>
          <w:cols w:space="720" w:num="1"/>
          <w:docGrid w:linePitch="312" w:charSpace="0"/>
        </w:sectPr>
      </w:pPr>
    </w:p>
    <w:p>
      <w:pPr>
        <w:spacing w:line="360" w:lineRule="auto"/>
        <w:ind w:right="560"/>
        <w:jc w:val="right"/>
        <w:rPr>
          <w:rFonts w:ascii="宋体" w:hAnsi="宋体"/>
          <w:color w:val="auto"/>
          <w:szCs w:val="21"/>
          <w:highlight w:val="none"/>
        </w:rPr>
      </w:pPr>
      <w:r>
        <w:rPr>
          <w:rFonts w:hint="eastAsia" w:ascii="宋体" w:hAnsi="宋体"/>
          <w:color w:val="auto"/>
          <w:szCs w:val="21"/>
          <w:highlight w:val="none"/>
        </w:rPr>
        <w:t>正（副）本</w:t>
      </w:r>
    </w:p>
    <w:p>
      <w:pPr>
        <w:spacing w:line="360" w:lineRule="auto"/>
        <w:jc w:val="right"/>
        <w:rPr>
          <w:rFonts w:ascii="宋体" w:hAnsi="宋体"/>
          <w:color w:val="auto"/>
          <w:szCs w:val="21"/>
          <w:highlight w:val="none"/>
        </w:rPr>
      </w:pPr>
    </w:p>
    <w:p>
      <w:pPr>
        <w:spacing w:line="360" w:lineRule="auto"/>
        <w:ind w:firstLine="480" w:firstLineChars="200"/>
        <w:jc w:val="right"/>
        <w:rPr>
          <w:rFonts w:ascii="宋体" w:hAnsi="宋体"/>
          <w:color w:val="auto"/>
          <w:szCs w:val="21"/>
          <w:highlight w:val="none"/>
        </w:rPr>
      </w:pPr>
    </w:p>
    <w:p>
      <w:pPr>
        <w:spacing w:line="360" w:lineRule="auto"/>
        <w:ind w:left="1920" w:leftChars="800"/>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（项目名称）</w:t>
      </w: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投 标 文 件</w:t>
      </w:r>
    </w:p>
    <w:p>
      <w:pPr>
        <w:spacing w:line="360" w:lineRule="auto"/>
        <w:ind w:firstLine="480" w:firstLineChars="200"/>
        <w:rPr>
          <w:rFonts w:ascii="宋体" w:hAnsi="宋体"/>
          <w:color w:val="auto"/>
          <w:szCs w:val="21"/>
          <w:highlight w:val="none"/>
        </w:rPr>
      </w:pPr>
    </w:p>
    <w:p>
      <w:pPr>
        <w:spacing w:line="360" w:lineRule="auto"/>
        <w:jc w:val="center"/>
        <w:outlineLvl w:val="0"/>
        <w:rPr>
          <w:rFonts w:ascii="宋体" w:hAnsi="宋体"/>
          <w:color w:val="auto"/>
          <w:sz w:val="48"/>
          <w:szCs w:val="48"/>
          <w:highlight w:val="none"/>
        </w:rPr>
      </w:pPr>
      <w:bookmarkStart w:id="46" w:name="_Toc18270"/>
      <w:r>
        <w:rPr>
          <w:rFonts w:hint="eastAsia" w:ascii="宋体" w:hAnsi="宋体"/>
          <w:color w:val="auto"/>
          <w:sz w:val="48"/>
          <w:szCs w:val="48"/>
          <w:highlight w:val="none"/>
        </w:rPr>
        <w:t>经济标</w:t>
      </w:r>
      <w:bookmarkEnd w:id="46"/>
    </w:p>
    <w:p>
      <w:pPr>
        <w:spacing w:line="360" w:lineRule="auto"/>
        <w:ind w:firstLine="480" w:firstLineChars="200"/>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ind w:firstLine="480" w:firstLineChars="200"/>
        <w:rPr>
          <w:rFonts w:ascii="宋体" w:hAnsi="宋体"/>
          <w:color w:val="auto"/>
          <w:szCs w:val="21"/>
          <w:highlight w:val="non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pPr>
        <w:spacing w:line="360" w:lineRule="auto"/>
        <w:jc w:val="center"/>
        <w:rPr>
          <w:rFonts w:ascii="宋体" w:hAnsi="宋体"/>
          <w:color w:val="auto"/>
          <w:sz w:val="28"/>
          <w:szCs w:val="28"/>
          <w:highlight w:val="none"/>
        </w:rPr>
      </w:pPr>
    </w:p>
    <w:p>
      <w:pPr>
        <w:spacing w:line="360" w:lineRule="auto"/>
        <w:ind w:firstLine="1820" w:firstLineChars="650"/>
        <w:rPr>
          <w:rFonts w:ascii="宋体" w:hAnsi="宋体"/>
          <w:color w:val="auto"/>
          <w:sz w:val="28"/>
          <w:szCs w:val="28"/>
          <w:highlight w:val="none"/>
        </w:rPr>
      </w:pPr>
      <w:r>
        <w:rPr>
          <w:rFonts w:hint="eastAsia" w:ascii="宋体" w:hAnsi="宋体"/>
          <w:color w:val="auto"/>
          <w:sz w:val="28"/>
          <w:szCs w:val="28"/>
          <w:highlight w:val="none"/>
        </w:rPr>
        <w:t>法定代表人或授权代表：</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w:t>
      </w:r>
    </w:p>
    <w:p>
      <w:pPr>
        <w:spacing w:line="360" w:lineRule="auto"/>
        <w:ind w:firstLine="1960" w:firstLineChars="700"/>
        <w:rPr>
          <w:rFonts w:ascii="宋体" w:hAnsi="宋体"/>
          <w:color w:val="auto"/>
          <w:sz w:val="28"/>
          <w:szCs w:val="28"/>
          <w:highlight w:val="none"/>
        </w:rPr>
      </w:pPr>
    </w:p>
    <w:p>
      <w:pPr>
        <w:spacing w:line="360" w:lineRule="auto"/>
        <w:jc w:val="center"/>
        <w:rPr>
          <w:rFonts w:ascii="宋体" w:hAnsi="宋体"/>
          <w:color w:val="auto"/>
          <w:szCs w:val="21"/>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Cs w:val="21"/>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360" w:lineRule="auto"/>
        <w:rPr>
          <w:rFonts w:ascii="宋体" w:hAnsi="宋体"/>
          <w:color w:val="auto"/>
          <w:szCs w:val="21"/>
          <w:highlight w:val="none"/>
        </w:rPr>
      </w:pPr>
    </w:p>
    <w:p>
      <w:pPr>
        <w:spacing w:line="360" w:lineRule="auto"/>
        <w:ind w:left="240" w:leftChars="100"/>
        <w:rPr>
          <w:rFonts w:ascii="宋体" w:hAnsi="宋体"/>
          <w:color w:val="auto"/>
          <w:sz w:val="21"/>
          <w:szCs w:val="18"/>
          <w:highlight w:val="none"/>
        </w:rPr>
        <w:sectPr>
          <w:pgSz w:w="11906" w:h="16838"/>
          <w:pgMar w:top="1418" w:right="1368" w:bottom="1418" w:left="938" w:header="851" w:footer="992" w:gutter="0"/>
          <w:pgNumType w:fmt="numberInDash"/>
          <w:cols w:space="720" w:num="1"/>
          <w:docGrid w:linePitch="312" w:charSpace="0"/>
        </w:sectPr>
      </w:pPr>
      <w:r>
        <w:rPr>
          <w:rFonts w:hint="eastAsia" w:ascii="宋体" w:hAnsi="宋体"/>
          <w:color w:val="auto"/>
          <w:sz w:val="21"/>
          <w:szCs w:val="18"/>
          <w:highlight w:val="none"/>
        </w:rPr>
        <w:t>（说明：本封面仅供参考，格式由投标人自定，但必须包括工程名称、“正本”或“副本”字样（电子标书免）， “经济标”字样、投标人名称、投标人单位公章、投标人法定代表人或其委托的授权代表签字、编制人签字及盖专用章。）</w:t>
      </w:r>
    </w:p>
    <w:p>
      <w:pPr>
        <w:spacing w:line="360" w:lineRule="auto"/>
        <w:jc w:val="center"/>
        <w:rPr>
          <w:color w:val="auto"/>
          <w:sz w:val="28"/>
          <w:szCs w:val="28"/>
          <w:highlight w:val="none"/>
        </w:rPr>
      </w:pPr>
      <w:r>
        <w:rPr>
          <w:rFonts w:hint="eastAsia"/>
          <w:color w:val="auto"/>
          <w:sz w:val="28"/>
          <w:szCs w:val="28"/>
          <w:highlight w:val="none"/>
        </w:rPr>
        <w:t>目  录</w:t>
      </w:r>
    </w:p>
    <w:p>
      <w:pPr>
        <w:spacing w:line="360" w:lineRule="auto"/>
        <w:rPr>
          <w:rFonts w:ascii="宋体" w:hAnsi="宋体"/>
          <w:color w:val="auto"/>
          <w:szCs w:val="21"/>
          <w:highlight w:val="none"/>
        </w:rPr>
      </w:pPr>
    </w:p>
    <w:p>
      <w:pPr>
        <w:spacing w:line="360" w:lineRule="auto"/>
        <w:rPr>
          <w:color w:val="auto"/>
          <w:highlight w:val="none"/>
        </w:rPr>
      </w:pPr>
      <w:r>
        <w:rPr>
          <w:rFonts w:hint="eastAsia"/>
          <w:color w:val="auto"/>
          <w:highlight w:val="none"/>
        </w:rPr>
        <w:t>一、投标报价汇总表（其中的</w:t>
      </w:r>
      <w:r>
        <w:rPr>
          <w:rFonts w:hint="eastAsia" w:ascii="宋体" w:hAnsi="宋体"/>
          <w:color w:val="auto"/>
          <w:szCs w:val="21"/>
          <w:highlight w:val="none"/>
        </w:rPr>
        <w:t>绿色施工安全防护措施费须在此表中单列）</w:t>
      </w:r>
    </w:p>
    <w:p>
      <w:pPr>
        <w:spacing w:line="360" w:lineRule="auto"/>
        <w:rPr>
          <w:color w:val="auto"/>
          <w:highlight w:val="none"/>
        </w:rPr>
      </w:pPr>
    </w:p>
    <w:p>
      <w:pPr>
        <w:spacing w:line="360" w:lineRule="auto"/>
        <w:rPr>
          <w:color w:val="auto"/>
          <w:highlight w:val="none"/>
        </w:rPr>
      </w:pPr>
      <w:r>
        <w:rPr>
          <w:rFonts w:hint="eastAsia"/>
          <w:color w:val="auto"/>
          <w:highlight w:val="none"/>
        </w:rPr>
        <w:t>二、已标价工程量清单</w:t>
      </w:r>
    </w:p>
    <w:p>
      <w:pPr>
        <w:pStyle w:val="6"/>
        <w:rPr>
          <w:color w:val="auto"/>
          <w:highlight w:val="none"/>
        </w:rPr>
        <w:sectPr>
          <w:pgSz w:w="11906" w:h="16838"/>
          <w:pgMar w:top="1418" w:right="1134" w:bottom="1418" w:left="1418" w:header="851" w:footer="992" w:gutter="0"/>
          <w:cols w:space="720" w:num="1"/>
          <w:docGrid w:linePitch="312" w:charSpace="0"/>
        </w:sectPr>
      </w:pPr>
    </w:p>
    <w:p>
      <w:pPr>
        <w:rPr>
          <w:color w:val="auto"/>
          <w:highlight w:val="none"/>
        </w:rPr>
      </w:pPr>
    </w:p>
    <w:p>
      <w:pPr>
        <w:numPr>
          <w:ilvl w:val="0"/>
          <w:numId w:val="25"/>
        </w:numPr>
        <w:spacing w:line="360" w:lineRule="auto"/>
        <w:ind w:firstLine="0"/>
        <w:jc w:val="center"/>
        <w:rPr>
          <w:rFonts w:ascii="宋体" w:hAnsi="宋体"/>
          <w:b/>
          <w:color w:val="auto"/>
          <w:highlight w:val="none"/>
        </w:rPr>
      </w:pPr>
      <w:r>
        <w:rPr>
          <w:rFonts w:hint="eastAsia" w:ascii="宋体" w:hAnsi="宋体"/>
          <w:b/>
          <w:color w:val="auto"/>
          <w:highlight w:val="none"/>
        </w:rPr>
        <w:t>投标报价汇总表</w:t>
      </w:r>
    </w:p>
    <w:p>
      <w:pPr>
        <w:spacing w:line="360" w:lineRule="auto"/>
        <w:jc w:val="center"/>
        <w:rPr>
          <w:rFonts w:ascii="宋体" w:hAnsi="宋体"/>
          <w:color w:val="auto"/>
          <w:highlight w:val="none"/>
        </w:rPr>
      </w:pPr>
      <w:r>
        <w:rPr>
          <w:rFonts w:hint="eastAsia" w:ascii="宋体" w:hAnsi="宋体"/>
          <w:color w:val="auto"/>
          <w:highlight w:val="none"/>
        </w:rPr>
        <w:t>（其中的</w:t>
      </w:r>
      <w:r>
        <w:rPr>
          <w:rFonts w:hint="eastAsia" w:ascii="宋体" w:hAnsi="宋体"/>
          <w:color w:val="auto"/>
          <w:szCs w:val="21"/>
          <w:highlight w:val="none"/>
        </w:rPr>
        <w:t>绿色施工安全防护措施费须在此表中单列）</w:t>
      </w:r>
    </w:p>
    <w:p>
      <w:pPr>
        <w:snapToGri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投标报价汇总表</w:t>
      </w:r>
    </w:p>
    <w:p>
      <w:pPr>
        <w:snapToGrid w:val="0"/>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（适用于纸质标书）</w:t>
      </w:r>
    </w:p>
    <w:p>
      <w:pPr>
        <w:snapToGrid w:val="0"/>
        <w:spacing w:line="360" w:lineRule="auto"/>
        <w:ind w:firstLine="28"/>
        <w:rPr>
          <w:rFonts w:ascii="宋体" w:hAnsi="宋体"/>
          <w:color w:val="auto"/>
          <w:szCs w:val="21"/>
          <w:highlight w:val="none"/>
        </w:rPr>
      </w:pPr>
      <w:r>
        <w:rPr>
          <w:rFonts w:hint="eastAsia" w:ascii="宋体" w:hAnsi="宋体"/>
          <w:color w:val="auto"/>
          <w:szCs w:val="21"/>
          <w:highlight w:val="none"/>
        </w:rPr>
        <w:t>招标人（建设单位）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auto"/>
        <w:ind w:left="1200" w:hanging="1200" w:hangingChars="500"/>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lang w:val="en-GB"/>
        </w:rPr>
      </w:pPr>
      <w:r>
        <w:rPr>
          <w:rFonts w:hint="eastAsia" w:ascii="宋体" w:hAnsi="宋体"/>
          <w:color w:val="auto"/>
          <w:szCs w:val="21"/>
          <w:highlight w:val="none"/>
        </w:rPr>
        <w:t>投标总价（含税价）：（小写）人民币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napToGrid w:val="0"/>
        <w:spacing w:line="360" w:lineRule="auto"/>
        <w:rPr>
          <w:rFonts w:ascii="宋体" w:hAnsi="宋体"/>
          <w:color w:val="auto"/>
          <w:szCs w:val="21"/>
          <w:highlight w:val="none"/>
        </w:rPr>
      </w:pPr>
      <w:r>
        <w:rPr>
          <w:rFonts w:hint="eastAsia" w:ascii="宋体" w:hAnsi="宋体"/>
          <w:color w:val="auto"/>
          <w:szCs w:val="21"/>
          <w:highlight w:val="none"/>
        </w:rPr>
        <w:t>上述报价已经包含绿色施工安全防护措施费。</w:t>
      </w:r>
    </w:p>
    <w:p>
      <w:pPr>
        <w:snapToGrid w:val="0"/>
        <w:spacing w:line="360" w:lineRule="auto"/>
        <w:rPr>
          <w:rFonts w:ascii="宋体" w:hAnsi="宋体"/>
          <w:color w:val="auto"/>
          <w:szCs w:val="21"/>
          <w:highlight w:val="none"/>
        </w:rPr>
      </w:pPr>
      <w:r>
        <w:rPr>
          <w:rFonts w:hint="eastAsia" w:ascii="宋体" w:hAnsi="宋体"/>
          <w:color w:val="auto"/>
          <w:szCs w:val="21"/>
          <w:highlight w:val="none"/>
        </w:rPr>
        <w:t>（1）绿色施工安全防护措施费（不含税）：</w:t>
      </w:r>
    </w:p>
    <w:p>
      <w:pPr>
        <w:snapToGrid w:val="0"/>
        <w:spacing w:line="360" w:lineRule="auto"/>
        <w:ind w:firstLine="1200" w:firstLineChars="500"/>
        <w:rPr>
          <w:rFonts w:ascii="宋体" w:hAnsi="宋体"/>
          <w:color w:val="auto"/>
          <w:szCs w:val="21"/>
          <w:highlight w:val="none"/>
        </w:rPr>
      </w:pPr>
      <w:r>
        <w:rPr>
          <w:rFonts w:hint="eastAsia" w:ascii="宋体" w:hAnsi="宋体"/>
          <w:color w:val="auto"/>
          <w:szCs w:val="21"/>
          <w:highlight w:val="none"/>
        </w:rPr>
        <w:t>（小写）人民币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napToGrid w:val="0"/>
        <w:spacing w:line="360" w:lineRule="auto"/>
        <w:ind w:firstLine="1200" w:firstLineChars="500"/>
        <w:rPr>
          <w:rFonts w:ascii="宋体" w:hAnsi="宋体"/>
          <w:color w:val="auto"/>
          <w:szCs w:val="21"/>
          <w:highlight w:val="none"/>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napToGrid w:val="0"/>
        <w:spacing w:line="360" w:lineRule="auto"/>
        <w:rPr>
          <w:rFonts w:ascii="宋体" w:hAnsi="宋体"/>
          <w:b/>
          <w:color w:val="auto"/>
          <w:szCs w:val="21"/>
          <w:highlight w:val="none"/>
        </w:rPr>
      </w:pPr>
      <w:r>
        <w:rPr>
          <w:rFonts w:hint="eastAsia" w:ascii="宋体" w:hAnsi="宋体"/>
          <w:b/>
          <w:color w:val="auto"/>
          <w:szCs w:val="21"/>
          <w:highlight w:val="none"/>
        </w:rPr>
        <w:t>（有效绿色施工安全防护措施费报价大于或等于答疑时公布的招标控制价该部分价格的100%）</w:t>
      </w:r>
    </w:p>
    <w:p>
      <w:pPr>
        <w:snapToGrid w:val="0"/>
        <w:spacing w:line="360" w:lineRule="auto"/>
        <w:rPr>
          <w:rFonts w:ascii="宋体" w:hAnsi="宋体"/>
          <w:color w:val="auto"/>
          <w:szCs w:val="21"/>
          <w:highlight w:val="none"/>
        </w:rPr>
      </w:pPr>
      <w:r>
        <w:rPr>
          <w:rFonts w:hint="eastAsia" w:ascii="宋体" w:hAnsi="宋体"/>
          <w:color w:val="auto"/>
          <w:szCs w:val="21"/>
          <w:highlight w:val="none"/>
        </w:rPr>
        <w:t>（2）本工程“投标总价”由</w:t>
      </w:r>
      <w:r>
        <w:rPr>
          <w:rFonts w:hint="eastAsia" w:ascii="宋体" w:hAnsi="宋体"/>
          <w:color w:val="auto"/>
          <w:szCs w:val="21"/>
          <w:highlight w:val="none"/>
          <w:u w:val="single"/>
        </w:rPr>
        <w:t xml:space="preserve">    </w:t>
      </w:r>
      <w:r>
        <w:rPr>
          <w:rFonts w:hint="eastAsia" w:ascii="宋体" w:hAnsi="宋体"/>
          <w:color w:val="auto"/>
          <w:szCs w:val="21"/>
          <w:highlight w:val="none"/>
        </w:rPr>
        <w:t>项分项工程投标价组成，分别如下：</w:t>
      </w:r>
    </w:p>
    <w:tbl>
      <w:tblPr>
        <w:tblStyle w:val="28"/>
        <w:tblW w:w="8946"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578"/>
        <w:gridCol w:w="180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751"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578"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分项工程名称</w:t>
            </w:r>
          </w:p>
        </w:tc>
        <w:tc>
          <w:tcPr>
            <w:tcW w:w="1800"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投标价（元）</w:t>
            </w:r>
          </w:p>
        </w:tc>
        <w:tc>
          <w:tcPr>
            <w:tcW w:w="1817" w:type="dxa"/>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绿色施工安全防护措施费（不含税）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highlight w:val="none"/>
              </w:rPr>
            </w:pPr>
          </w:p>
        </w:tc>
        <w:tc>
          <w:tcPr>
            <w:tcW w:w="4578" w:type="dxa"/>
            <w:vAlign w:val="center"/>
          </w:tcPr>
          <w:p>
            <w:pPr>
              <w:snapToGrid w:val="0"/>
              <w:spacing w:line="360" w:lineRule="auto"/>
              <w:rPr>
                <w:rFonts w:ascii="宋体" w:hAnsi="宋体"/>
                <w:color w:val="auto"/>
                <w:szCs w:val="21"/>
                <w:highlight w:val="none"/>
              </w:rPr>
            </w:pPr>
          </w:p>
        </w:tc>
        <w:tc>
          <w:tcPr>
            <w:tcW w:w="1800" w:type="dxa"/>
          </w:tcPr>
          <w:p>
            <w:pPr>
              <w:snapToGrid w:val="0"/>
              <w:spacing w:line="360" w:lineRule="auto"/>
              <w:rPr>
                <w:rFonts w:ascii="宋体" w:hAnsi="宋体"/>
                <w:color w:val="auto"/>
                <w:szCs w:val="21"/>
                <w:highlight w:val="none"/>
              </w:rPr>
            </w:pPr>
          </w:p>
        </w:tc>
        <w:tc>
          <w:tcPr>
            <w:tcW w:w="1817" w:type="dxa"/>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highlight w:val="none"/>
              </w:rPr>
            </w:pPr>
          </w:p>
        </w:tc>
        <w:tc>
          <w:tcPr>
            <w:tcW w:w="4578" w:type="dxa"/>
            <w:vAlign w:val="center"/>
          </w:tcPr>
          <w:p>
            <w:pPr>
              <w:snapToGrid w:val="0"/>
              <w:spacing w:line="360" w:lineRule="auto"/>
              <w:rPr>
                <w:rFonts w:ascii="宋体" w:hAnsi="宋体"/>
                <w:color w:val="auto"/>
                <w:szCs w:val="21"/>
                <w:highlight w:val="none"/>
              </w:rPr>
            </w:pPr>
          </w:p>
        </w:tc>
        <w:tc>
          <w:tcPr>
            <w:tcW w:w="1800" w:type="dxa"/>
          </w:tcPr>
          <w:p>
            <w:pPr>
              <w:snapToGrid w:val="0"/>
              <w:spacing w:line="360" w:lineRule="auto"/>
              <w:rPr>
                <w:rFonts w:ascii="宋体" w:hAnsi="宋体"/>
                <w:color w:val="auto"/>
                <w:szCs w:val="21"/>
                <w:highlight w:val="none"/>
              </w:rPr>
            </w:pPr>
          </w:p>
        </w:tc>
        <w:tc>
          <w:tcPr>
            <w:tcW w:w="1817" w:type="dxa"/>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highlight w:val="none"/>
              </w:rPr>
            </w:pPr>
          </w:p>
        </w:tc>
        <w:tc>
          <w:tcPr>
            <w:tcW w:w="4578" w:type="dxa"/>
            <w:vAlign w:val="center"/>
          </w:tcPr>
          <w:p>
            <w:pPr>
              <w:snapToGrid w:val="0"/>
              <w:spacing w:line="360" w:lineRule="auto"/>
              <w:rPr>
                <w:rFonts w:ascii="宋体" w:hAnsi="宋体"/>
                <w:color w:val="auto"/>
                <w:szCs w:val="21"/>
                <w:highlight w:val="none"/>
              </w:rPr>
            </w:pPr>
          </w:p>
        </w:tc>
        <w:tc>
          <w:tcPr>
            <w:tcW w:w="1800" w:type="dxa"/>
          </w:tcPr>
          <w:p>
            <w:pPr>
              <w:snapToGrid w:val="0"/>
              <w:spacing w:line="360" w:lineRule="auto"/>
              <w:rPr>
                <w:rFonts w:ascii="宋体" w:hAnsi="宋体"/>
                <w:color w:val="auto"/>
                <w:szCs w:val="21"/>
                <w:highlight w:val="none"/>
              </w:rPr>
            </w:pPr>
          </w:p>
        </w:tc>
        <w:tc>
          <w:tcPr>
            <w:tcW w:w="1817" w:type="dxa"/>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751" w:type="dxa"/>
          </w:tcPr>
          <w:p>
            <w:pPr>
              <w:snapToGrid w:val="0"/>
              <w:spacing w:line="360" w:lineRule="auto"/>
              <w:rPr>
                <w:rFonts w:ascii="宋体" w:hAnsi="宋体"/>
                <w:color w:val="auto"/>
                <w:szCs w:val="21"/>
                <w:highlight w:val="none"/>
              </w:rPr>
            </w:pPr>
          </w:p>
        </w:tc>
        <w:tc>
          <w:tcPr>
            <w:tcW w:w="4578" w:type="dxa"/>
          </w:tcPr>
          <w:p>
            <w:pPr>
              <w:snapToGrid w:val="0"/>
              <w:spacing w:line="360" w:lineRule="auto"/>
              <w:rPr>
                <w:rFonts w:ascii="宋体" w:hAnsi="宋体"/>
                <w:color w:val="auto"/>
                <w:szCs w:val="21"/>
                <w:highlight w:val="none"/>
              </w:rPr>
            </w:pPr>
          </w:p>
        </w:tc>
        <w:tc>
          <w:tcPr>
            <w:tcW w:w="1800" w:type="dxa"/>
          </w:tcPr>
          <w:p>
            <w:pPr>
              <w:snapToGrid w:val="0"/>
              <w:spacing w:line="360" w:lineRule="auto"/>
              <w:rPr>
                <w:rFonts w:ascii="宋体" w:hAnsi="宋体"/>
                <w:color w:val="auto"/>
                <w:szCs w:val="21"/>
                <w:highlight w:val="none"/>
              </w:rPr>
            </w:pPr>
          </w:p>
        </w:tc>
        <w:tc>
          <w:tcPr>
            <w:tcW w:w="1817" w:type="dxa"/>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5329" w:type="dxa"/>
            <w:gridSpan w:val="2"/>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合计（即“投标总价” ）</w:t>
            </w:r>
          </w:p>
        </w:tc>
        <w:tc>
          <w:tcPr>
            <w:tcW w:w="1800" w:type="dxa"/>
          </w:tcPr>
          <w:p>
            <w:pPr>
              <w:snapToGrid w:val="0"/>
              <w:spacing w:line="360" w:lineRule="auto"/>
              <w:rPr>
                <w:rFonts w:ascii="宋体" w:hAnsi="宋体"/>
                <w:color w:val="auto"/>
                <w:szCs w:val="21"/>
                <w:highlight w:val="none"/>
              </w:rPr>
            </w:pPr>
          </w:p>
        </w:tc>
        <w:tc>
          <w:tcPr>
            <w:tcW w:w="1817" w:type="dxa"/>
          </w:tcPr>
          <w:p>
            <w:pPr>
              <w:snapToGrid w:val="0"/>
              <w:spacing w:line="360" w:lineRule="auto"/>
              <w:rPr>
                <w:rFonts w:ascii="宋体" w:hAnsi="宋体"/>
                <w:color w:val="auto"/>
                <w:szCs w:val="21"/>
                <w:highlight w:val="none"/>
              </w:rPr>
            </w:pPr>
          </w:p>
        </w:tc>
      </w:tr>
    </w:tbl>
    <w:p>
      <w:pPr>
        <w:snapToGrid w:val="0"/>
        <w:spacing w:line="360" w:lineRule="auto"/>
        <w:ind w:left="1440" w:leftChars="600" w:firstLine="2428" w:firstLineChars="1012"/>
        <w:rPr>
          <w:rFonts w:ascii="宋体" w:hAnsi="宋体"/>
          <w:color w:val="auto"/>
          <w:szCs w:val="21"/>
          <w:highlight w:val="none"/>
        </w:rPr>
      </w:pPr>
      <w:r>
        <w:rPr>
          <w:rFonts w:hint="eastAsia" w:ascii="宋体" w:hAnsi="宋体"/>
          <w:color w:val="auto"/>
          <w:szCs w:val="21"/>
          <w:highlight w:val="none"/>
        </w:rPr>
        <w:t xml:space="preserve">投标单位：（加盖投标单位公章）                  </w:t>
      </w:r>
    </w:p>
    <w:p>
      <w:pPr>
        <w:snapToGrid w:val="0"/>
        <w:spacing w:line="360" w:lineRule="auto"/>
        <w:ind w:left="1440" w:leftChars="600" w:firstLine="2428" w:firstLineChars="1012"/>
        <w:rPr>
          <w:rFonts w:ascii="宋体" w:hAnsi="宋体"/>
          <w:color w:val="auto"/>
          <w:szCs w:val="21"/>
          <w:highlight w:val="none"/>
        </w:rPr>
      </w:pPr>
      <w:r>
        <w:rPr>
          <w:rFonts w:hint="eastAsia" w:ascii="宋体" w:hAnsi="宋体"/>
          <w:color w:val="auto"/>
          <w:szCs w:val="21"/>
          <w:highlight w:val="none"/>
        </w:rPr>
        <w:t>法定代表人（或代理人）签名：</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日    期：</w:t>
      </w:r>
    </w:p>
    <w:p>
      <w:pPr>
        <w:numPr>
          <w:ilvl w:val="0"/>
          <w:numId w:val="25"/>
        </w:numPr>
        <w:spacing w:line="360" w:lineRule="auto"/>
        <w:ind w:firstLine="0"/>
        <w:jc w:val="center"/>
        <w:rPr>
          <w:rFonts w:ascii="宋体" w:hAnsi="宋体"/>
          <w:b/>
          <w:color w:val="auto"/>
          <w:highlight w:val="none"/>
        </w:rPr>
      </w:pPr>
      <w:r>
        <w:rPr>
          <w:rFonts w:hint="eastAsia" w:ascii="宋体" w:hAnsi="宋体"/>
          <w:b/>
          <w:color w:val="auto"/>
          <w:highlight w:val="none"/>
        </w:rPr>
        <w:t>已标价工程量清单</w:t>
      </w:r>
    </w:p>
    <w:p>
      <w:pPr>
        <w:spacing w:line="360" w:lineRule="auto"/>
        <w:ind w:right="560"/>
        <w:jc w:val="right"/>
        <w:rPr>
          <w:rFonts w:ascii="宋体" w:hAnsi="宋体"/>
          <w:color w:val="auto"/>
          <w:highlight w:val="none"/>
          <w:u w:val="single"/>
        </w:rPr>
      </w:pPr>
    </w:p>
    <w:p>
      <w:pPr>
        <w:spacing w:line="360" w:lineRule="auto"/>
        <w:rPr>
          <w:rFonts w:ascii="宋体" w:hAnsi="宋体"/>
          <w:color w:val="auto"/>
          <w:highlight w:val="none"/>
        </w:rPr>
      </w:pPr>
    </w:p>
    <w:p>
      <w:pPr>
        <w:spacing w:line="360" w:lineRule="auto"/>
        <w:rPr>
          <w:rFonts w:ascii="宋体" w:hAnsi="宋体"/>
          <w:color w:val="auto"/>
          <w:highlight w:val="none"/>
        </w:rPr>
      </w:pPr>
    </w:p>
    <w:sectPr>
      <w:footerReference r:id="rId10" w:type="first"/>
      <w:headerReference r:id="rId6" w:type="default"/>
      <w:footerReference r:id="rId8" w:type="default"/>
      <w:headerReference r:id="rId7" w:type="even"/>
      <w:footerReference r:id="rId9" w:type="even"/>
      <w:pgSz w:w="11907" w:h="16840"/>
      <w:pgMar w:top="1417" w:right="1134" w:bottom="1417" w:left="1417" w:header="737" w:footer="737" w:gutter="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3802"/>
    </w:sdtPr>
    <w:sdtContent>
      <w:p>
        <w:pPr>
          <w:pStyle w:val="20"/>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ind w:right="360"/>
      <w:jc w:val="center"/>
      <w:rPr>
        <w:spacing w:val="36"/>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0zR/YAQAAsQ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NSWWGRz4+dfP8++/&#10;5z8/yJskT++hxqw7j3lxeO8GXJr5HvAysR5kMOmLfAjGUdzTRVwxRMLTo2pVVSWGOMZmB/GLh+c+&#10;QPwgnCHJaGjA6WVR2fETxDF1TknVrLtVWucJakt6RL2q3l3lF5cQomubkkVehgkncRp7T1YcdsNE&#10;dOfaE/LscSEaanH/KdEfLeqddmc2wmzsZuPgg9p32PIyVwd/c4jYXO45VRhhkWtycJKZ9bR1aVX+&#10;9XPWw5+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UfTNH9gBAACxAwAADgAAAAAAAAAB&#10;ACAAAAAiAQAAZHJzL2Uyb0RvYy54bWxQSwUGAAAAAAYABgBZAQAAbAUAAAAA&#10;">
              <v:fill on="f" focussize="0,0"/>
              <v:stroke on="f" weight="1.2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fldChar w:fldCharType="begin"/>
    </w:r>
    <w:r>
      <w:rPr>
        <w:rStyle w:val="30"/>
      </w:rPr>
      <w:instrText xml:space="preserve">PAGE  </w:instrText>
    </w:r>
    <w:r>
      <w:fldChar w:fldCharType="separate"/>
    </w:r>
    <w:r>
      <w:rPr>
        <w:rStyle w:val="30"/>
      </w:rPr>
      <w:t>43</w:t>
    </w:r>
    <w:r>
      <w:fldChar w:fldCharType="end"/>
    </w:r>
  </w:p>
  <w:p>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0"/>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9PavXAQAAsQ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k7y9B5qzLr3mBeHd27ApZnvAS8T60EGk77Ih2AcxT1fxRVDJDw9qlZVVWKIY2x2EL94eO4D&#10;xPfCGZKMhgacXhaVnT5CHFPnlFTNujuldZ6gtqRH1HX1dp1fXEOIrm1KFnkZJpzEaew9WXHYDxPR&#10;vWvPyLPHhWioxf2nRH+wqHfandkIs7GfjaMP6tBhy8tcHfztMWJzuedUYYRFrsnBSWbW09alVfnX&#10;z1k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hfT2r1wEAALEDAAAOAAAAAAAAAAEA&#10;IAAAACIBAABkcnMvZTJvRG9jLnhtbFBLBQYAAAAABgAGAFkBAABrBQAAAAA=&#10;">
              <v:fill on="f" focussize="0,0"/>
              <v:stroke on="f" weight="1.2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5726"/>
      </w:tabs>
      <w:rPr>
        <w:rFonts w:ascii="宋体" w:hAnsi="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0"/>
      </w:rPr>
    </w:pPr>
    <w:r>
      <w:fldChar w:fldCharType="begin"/>
    </w:r>
    <w:r>
      <w:rPr>
        <w:rStyle w:val="30"/>
      </w:rPr>
      <w:instrText xml:space="preserve">PAGE  </w:instrText>
    </w:r>
    <w:r>
      <w:fldChar w:fldCharType="separate"/>
    </w:r>
    <w:r>
      <w:rPr>
        <w:rStyle w:val="30"/>
      </w:rPr>
      <w:t>43</w:t>
    </w:r>
    <w:r>
      <w:fldChar w:fldCharType="end"/>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05452"/>
    <w:multiLevelType w:val="singleLevel"/>
    <w:tmpl w:val="8F305452"/>
    <w:lvl w:ilvl="0" w:tentative="0">
      <w:start w:val="1"/>
      <w:numFmt w:val="decimalEnclosedCircleChinese"/>
      <w:suff w:val="nothing"/>
      <w:lvlText w:val="%1　"/>
      <w:lvlJc w:val="left"/>
      <w:pPr>
        <w:ind w:left="0" w:firstLine="400"/>
      </w:pPr>
      <w:rPr>
        <w:rFonts w:hint="eastAsia"/>
      </w:rPr>
    </w:lvl>
  </w:abstractNum>
  <w:abstractNum w:abstractNumId="1">
    <w:nsid w:val="AA3BF96E"/>
    <w:multiLevelType w:val="singleLevel"/>
    <w:tmpl w:val="AA3BF96E"/>
    <w:lvl w:ilvl="0" w:tentative="0">
      <w:start w:val="1"/>
      <w:numFmt w:val="chineseCounting"/>
      <w:suff w:val="nothing"/>
      <w:lvlText w:val="%1、"/>
      <w:lvlJc w:val="left"/>
      <w:pPr>
        <w:ind w:left="0" w:firstLine="420"/>
      </w:pPr>
      <w:rPr>
        <w:rFonts w:hint="eastAsia"/>
      </w:rPr>
    </w:lvl>
  </w:abstractNum>
  <w:abstractNum w:abstractNumId="2">
    <w:nsid w:val="B7E05431"/>
    <w:multiLevelType w:val="singleLevel"/>
    <w:tmpl w:val="B7E05431"/>
    <w:lvl w:ilvl="0" w:tentative="0">
      <w:start w:val="1"/>
      <w:numFmt w:val="decimalEnclosedCircleChinese"/>
      <w:suff w:val="nothing"/>
      <w:lvlText w:val="%1　"/>
      <w:lvlJc w:val="left"/>
      <w:pPr>
        <w:ind w:left="0" w:firstLine="400"/>
      </w:pPr>
      <w:rPr>
        <w:rFonts w:hint="eastAsia"/>
      </w:rPr>
    </w:lvl>
  </w:abstractNum>
  <w:abstractNum w:abstractNumId="3">
    <w:nsid w:val="CC2A5F77"/>
    <w:multiLevelType w:val="singleLevel"/>
    <w:tmpl w:val="CC2A5F77"/>
    <w:lvl w:ilvl="0" w:tentative="0">
      <w:start w:val="1"/>
      <w:numFmt w:val="decimal"/>
      <w:lvlText w:val="%1)"/>
      <w:lvlJc w:val="left"/>
      <w:pPr>
        <w:ind w:left="425" w:hanging="425"/>
      </w:pPr>
      <w:rPr>
        <w:rFonts w:hint="default"/>
      </w:rPr>
    </w:lvl>
  </w:abstractNum>
  <w:abstractNum w:abstractNumId="4">
    <w:nsid w:val="CC2A7285"/>
    <w:multiLevelType w:val="singleLevel"/>
    <w:tmpl w:val="CC2A7285"/>
    <w:lvl w:ilvl="0" w:tentative="0">
      <w:start w:val="1"/>
      <w:numFmt w:val="bullet"/>
      <w:lvlText w:val=""/>
      <w:lvlJc w:val="left"/>
      <w:pPr>
        <w:ind w:left="420" w:hanging="420"/>
      </w:pPr>
      <w:rPr>
        <w:rFonts w:hint="default" w:ascii="Wingdings" w:hAnsi="Wingdings"/>
      </w:rPr>
    </w:lvl>
  </w:abstractNum>
  <w:abstractNum w:abstractNumId="5">
    <w:nsid w:val="FBB473D2"/>
    <w:multiLevelType w:val="singleLevel"/>
    <w:tmpl w:val="FBB473D2"/>
    <w:lvl w:ilvl="0" w:tentative="0">
      <w:start w:val="1"/>
      <w:numFmt w:val="decimal"/>
      <w:lvlText w:val="%1)"/>
      <w:lvlJc w:val="left"/>
      <w:pPr>
        <w:ind w:left="425" w:hanging="425"/>
      </w:pPr>
      <w:rPr>
        <w:rFonts w:hint="default"/>
      </w:rPr>
    </w:lvl>
  </w:abstractNum>
  <w:abstractNum w:abstractNumId="6">
    <w:nsid w:val="0000000A"/>
    <w:multiLevelType w:val="multilevel"/>
    <w:tmpl w:val="0000000A"/>
    <w:lvl w:ilvl="0" w:tentative="0">
      <w:start w:val="1"/>
      <w:numFmt w:val="decimal"/>
      <w:lvlText w:val="%1）"/>
      <w:lvlJc w:val="left"/>
      <w:pPr>
        <w:ind w:left="360" w:hanging="360"/>
      </w:pPr>
      <w:rPr>
        <w:rFonts w:hint="default" w:asciiTheme="minorEastAsia" w:hAnsiTheme="minorEastAsia" w:eastAsiaTheme="minorEastAsia"/>
        <w:b w:val="0"/>
      </w:rPr>
    </w:lvl>
    <w:lvl w:ilvl="1" w:tentative="0">
      <w:start w:val="1"/>
      <w:numFmt w:val="lowerLetter"/>
      <w:lvlText w:val="%2)"/>
      <w:lvlJc w:val="left"/>
      <w:pPr>
        <w:ind w:left="1529" w:hanging="420"/>
      </w:pPr>
    </w:lvl>
    <w:lvl w:ilvl="2" w:tentative="0">
      <w:start w:val="1"/>
      <w:numFmt w:val="lowerRoman"/>
      <w:lvlText w:val="%3."/>
      <w:lvlJc w:val="right"/>
      <w:pPr>
        <w:ind w:left="1949" w:hanging="420"/>
      </w:pPr>
    </w:lvl>
    <w:lvl w:ilvl="3" w:tentative="0">
      <w:start w:val="1"/>
      <w:numFmt w:val="decimal"/>
      <w:lvlText w:val="%4."/>
      <w:lvlJc w:val="left"/>
      <w:pPr>
        <w:ind w:left="2369" w:hanging="420"/>
      </w:pPr>
    </w:lvl>
    <w:lvl w:ilvl="4" w:tentative="0">
      <w:start w:val="1"/>
      <w:numFmt w:val="lowerLetter"/>
      <w:lvlText w:val="%5)"/>
      <w:lvlJc w:val="left"/>
      <w:pPr>
        <w:ind w:left="2789" w:hanging="420"/>
      </w:pPr>
    </w:lvl>
    <w:lvl w:ilvl="5" w:tentative="0">
      <w:start w:val="1"/>
      <w:numFmt w:val="lowerRoman"/>
      <w:lvlText w:val="%6."/>
      <w:lvlJc w:val="right"/>
      <w:pPr>
        <w:ind w:left="3209" w:hanging="420"/>
      </w:pPr>
    </w:lvl>
    <w:lvl w:ilvl="6" w:tentative="0">
      <w:start w:val="1"/>
      <w:numFmt w:val="decimal"/>
      <w:lvlText w:val="%7."/>
      <w:lvlJc w:val="left"/>
      <w:pPr>
        <w:ind w:left="3629" w:hanging="420"/>
      </w:pPr>
    </w:lvl>
    <w:lvl w:ilvl="7" w:tentative="0">
      <w:start w:val="1"/>
      <w:numFmt w:val="lowerLetter"/>
      <w:lvlText w:val="%8)"/>
      <w:lvlJc w:val="left"/>
      <w:pPr>
        <w:ind w:left="4049" w:hanging="420"/>
      </w:pPr>
    </w:lvl>
    <w:lvl w:ilvl="8" w:tentative="0">
      <w:start w:val="1"/>
      <w:numFmt w:val="lowerRoman"/>
      <w:lvlText w:val="%9."/>
      <w:lvlJc w:val="right"/>
      <w:pPr>
        <w:ind w:left="4469" w:hanging="420"/>
      </w:pPr>
    </w:lvl>
  </w:abstractNum>
  <w:abstractNum w:abstractNumId="7">
    <w:nsid w:val="031DEE41"/>
    <w:multiLevelType w:val="singleLevel"/>
    <w:tmpl w:val="031DEE41"/>
    <w:lvl w:ilvl="0" w:tentative="0">
      <w:start w:val="1"/>
      <w:numFmt w:val="chineseCounting"/>
      <w:suff w:val="nothing"/>
      <w:lvlText w:val="%1、"/>
      <w:lvlJc w:val="left"/>
      <w:pPr>
        <w:ind w:left="0" w:firstLine="420"/>
      </w:pPr>
      <w:rPr>
        <w:rFonts w:hint="eastAsia"/>
      </w:rPr>
    </w:lvl>
  </w:abstractNum>
  <w:abstractNum w:abstractNumId="8">
    <w:nsid w:val="09690610"/>
    <w:multiLevelType w:val="singleLevel"/>
    <w:tmpl w:val="09690610"/>
    <w:lvl w:ilvl="0" w:tentative="0">
      <w:start w:val="1"/>
      <w:numFmt w:val="decimal"/>
      <w:lvlText w:val="%1."/>
      <w:lvlJc w:val="left"/>
      <w:pPr>
        <w:ind w:left="425" w:hanging="425"/>
      </w:pPr>
      <w:rPr>
        <w:rFonts w:hint="default"/>
      </w:rPr>
    </w:lvl>
  </w:abstractNum>
  <w:abstractNum w:abstractNumId="9">
    <w:nsid w:val="10389756"/>
    <w:multiLevelType w:val="singleLevel"/>
    <w:tmpl w:val="10389756"/>
    <w:lvl w:ilvl="0" w:tentative="0">
      <w:start w:val="1"/>
      <w:numFmt w:val="decimal"/>
      <w:lvlText w:val="%1)"/>
      <w:lvlJc w:val="left"/>
      <w:pPr>
        <w:ind w:left="425" w:hanging="425"/>
      </w:pPr>
      <w:rPr>
        <w:rFonts w:hint="default" w:ascii="宋体" w:hAnsi="宋体" w:eastAsia="宋体" w:cs="宋体"/>
      </w:rPr>
    </w:lvl>
  </w:abstractNum>
  <w:abstractNum w:abstractNumId="10">
    <w:nsid w:val="22BA7DD4"/>
    <w:multiLevelType w:val="multilevel"/>
    <w:tmpl w:val="22BA7DD4"/>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B1C8A2A"/>
    <w:multiLevelType w:val="singleLevel"/>
    <w:tmpl w:val="2B1C8A2A"/>
    <w:lvl w:ilvl="0" w:tentative="0">
      <w:start w:val="1"/>
      <w:numFmt w:val="bullet"/>
      <w:lvlText w:val=""/>
      <w:lvlJc w:val="left"/>
      <w:pPr>
        <w:ind w:left="420" w:hanging="420"/>
      </w:pPr>
      <w:rPr>
        <w:rFonts w:hint="default" w:ascii="Wingdings" w:hAnsi="Wingdings"/>
      </w:rPr>
    </w:lvl>
  </w:abstractNum>
  <w:abstractNum w:abstractNumId="12">
    <w:nsid w:val="2C9B8D4E"/>
    <w:multiLevelType w:val="singleLevel"/>
    <w:tmpl w:val="2C9B8D4E"/>
    <w:lvl w:ilvl="0" w:tentative="0">
      <w:start w:val="1"/>
      <w:numFmt w:val="decimal"/>
      <w:lvlText w:val="(%1)"/>
      <w:lvlJc w:val="left"/>
      <w:pPr>
        <w:ind w:left="425" w:hanging="425"/>
      </w:pPr>
      <w:rPr>
        <w:rFonts w:hint="default"/>
      </w:rPr>
    </w:lvl>
  </w:abstractNum>
  <w:abstractNum w:abstractNumId="13">
    <w:nsid w:val="377711C6"/>
    <w:multiLevelType w:val="multilevel"/>
    <w:tmpl w:val="377711C6"/>
    <w:lvl w:ilvl="0" w:tentative="0">
      <w:start w:val="1"/>
      <w:numFmt w:val="decimal"/>
      <w:lvlText w:val="%1、"/>
      <w:lvlJc w:val="left"/>
      <w:pPr>
        <w:tabs>
          <w:tab w:val="left" w:pos="845"/>
        </w:tabs>
        <w:ind w:left="845" w:hanging="425"/>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AA57B93"/>
    <w:multiLevelType w:val="multilevel"/>
    <w:tmpl w:val="3AA57B93"/>
    <w:lvl w:ilvl="0" w:tentative="0">
      <w:start w:val="16"/>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996119"/>
    <w:multiLevelType w:val="multilevel"/>
    <w:tmpl w:val="4B996119"/>
    <w:lvl w:ilvl="0" w:tentative="0">
      <w:start w:val="1"/>
      <w:numFmt w:val="decimal"/>
      <w:lvlText w:val="(%1)"/>
      <w:lvlJc w:val="left"/>
      <w:pPr>
        <w:ind w:left="138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1100797"/>
    <w:multiLevelType w:val="multilevel"/>
    <w:tmpl w:val="51100797"/>
    <w:lvl w:ilvl="0" w:tentative="0">
      <w:start w:val="1"/>
      <w:numFmt w:val="lowerLetter"/>
      <w:lvlText w:val="%1）"/>
      <w:lvlJc w:val="left"/>
      <w:pPr>
        <w:tabs>
          <w:tab w:val="left" w:pos="1980"/>
        </w:tabs>
        <w:ind w:left="1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D509D9E"/>
    <w:multiLevelType w:val="singleLevel"/>
    <w:tmpl w:val="5D509D9E"/>
    <w:lvl w:ilvl="0" w:tentative="0">
      <w:start w:val="1"/>
      <w:numFmt w:val="chineseCounting"/>
      <w:suff w:val="nothing"/>
      <w:lvlText w:val="%1、"/>
      <w:lvlJc w:val="left"/>
      <w:pPr>
        <w:ind w:left="0" w:firstLine="420"/>
      </w:pPr>
      <w:rPr>
        <w:rFonts w:hint="eastAsia"/>
      </w:rPr>
    </w:lvl>
  </w:abstractNum>
  <w:abstractNum w:abstractNumId="18">
    <w:nsid w:val="5E3E2E55"/>
    <w:multiLevelType w:val="multilevel"/>
    <w:tmpl w:val="5E3E2E55"/>
    <w:lvl w:ilvl="0" w:tentative="0">
      <w:start w:val="1"/>
      <w:numFmt w:val="decimal"/>
      <w:lvlText w:val="%1、"/>
      <w:lvlJc w:val="left"/>
      <w:pPr>
        <w:tabs>
          <w:tab w:val="left" w:pos="970"/>
        </w:tabs>
        <w:ind w:left="970" w:hanging="425"/>
      </w:pPr>
      <w:rPr>
        <w:rFonts w:hint="default"/>
      </w:rPr>
    </w:lvl>
    <w:lvl w:ilvl="1" w:tentative="0">
      <w:start w:val="1"/>
      <w:numFmt w:val="lowerLetter"/>
      <w:lvlText w:val="%2)"/>
      <w:lvlJc w:val="left"/>
      <w:pPr>
        <w:tabs>
          <w:tab w:val="left" w:pos="965"/>
        </w:tabs>
        <w:ind w:left="965" w:hanging="420"/>
      </w:pPr>
    </w:lvl>
    <w:lvl w:ilvl="2" w:tentative="0">
      <w:start w:val="1"/>
      <w:numFmt w:val="lowerRoman"/>
      <w:lvlText w:val="%3."/>
      <w:lvlJc w:val="right"/>
      <w:pPr>
        <w:tabs>
          <w:tab w:val="left" w:pos="1385"/>
        </w:tabs>
        <w:ind w:left="1385" w:hanging="420"/>
      </w:pPr>
    </w:lvl>
    <w:lvl w:ilvl="3" w:tentative="0">
      <w:start w:val="1"/>
      <w:numFmt w:val="decimal"/>
      <w:lvlText w:val="%4."/>
      <w:lvlJc w:val="left"/>
      <w:pPr>
        <w:tabs>
          <w:tab w:val="left" w:pos="1805"/>
        </w:tabs>
        <w:ind w:left="1805" w:hanging="420"/>
      </w:pPr>
    </w:lvl>
    <w:lvl w:ilvl="4" w:tentative="0">
      <w:start w:val="1"/>
      <w:numFmt w:val="lowerLetter"/>
      <w:lvlText w:val="%5)"/>
      <w:lvlJc w:val="left"/>
      <w:pPr>
        <w:tabs>
          <w:tab w:val="left" w:pos="2225"/>
        </w:tabs>
        <w:ind w:left="2225" w:hanging="420"/>
      </w:pPr>
    </w:lvl>
    <w:lvl w:ilvl="5" w:tentative="0">
      <w:start w:val="1"/>
      <w:numFmt w:val="lowerRoman"/>
      <w:lvlText w:val="%6."/>
      <w:lvlJc w:val="right"/>
      <w:pPr>
        <w:tabs>
          <w:tab w:val="left" w:pos="2645"/>
        </w:tabs>
        <w:ind w:left="2645" w:hanging="420"/>
      </w:pPr>
    </w:lvl>
    <w:lvl w:ilvl="6" w:tentative="0">
      <w:start w:val="1"/>
      <w:numFmt w:val="decimal"/>
      <w:lvlText w:val="%7."/>
      <w:lvlJc w:val="left"/>
      <w:pPr>
        <w:tabs>
          <w:tab w:val="left" w:pos="3065"/>
        </w:tabs>
        <w:ind w:left="3065" w:hanging="420"/>
      </w:pPr>
    </w:lvl>
    <w:lvl w:ilvl="7" w:tentative="0">
      <w:start w:val="1"/>
      <w:numFmt w:val="lowerLetter"/>
      <w:lvlText w:val="%8)"/>
      <w:lvlJc w:val="left"/>
      <w:pPr>
        <w:tabs>
          <w:tab w:val="left" w:pos="3485"/>
        </w:tabs>
        <w:ind w:left="3485" w:hanging="420"/>
      </w:pPr>
    </w:lvl>
    <w:lvl w:ilvl="8" w:tentative="0">
      <w:start w:val="1"/>
      <w:numFmt w:val="lowerRoman"/>
      <w:lvlText w:val="%9."/>
      <w:lvlJc w:val="right"/>
      <w:pPr>
        <w:tabs>
          <w:tab w:val="left" w:pos="3905"/>
        </w:tabs>
        <w:ind w:left="3905" w:hanging="420"/>
      </w:pPr>
    </w:lvl>
  </w:abstractNum>
  <w:abstractNum w:abstractNumId="19">
    <w:nsid w:val="5F4F6EC8"/>
    <w:multiLevelType w:val="singleLevel"/>
    <w:tmpl w:val="5F4F6EC8"/>
    <w:lvl w:ilvl="0" w:tentative="0">
      <w:start w:val="1"/>
      <w:numFmt w:val="decimal"/>
      <w:suff w:val="nothing"/>
      <w:lvlText w:val="%1．"/>
      <w:lvlJc w:val="left"/>
      <w:pPr>
        <w:ind w:left="0" w:firstLine="400"/>
      </w:pPr>
      <w:rPr>
        <w:rFonts w:hint="default"/>
      </w:rPr>
    </w:lvl>
  </w:abstractNum>
  <w:abstractNum w:abstractNumId="20">
    <w:nsid w:val="64A2CD9A"/>
    <w:multiLevelType w:val="singleLevel"/>
    <w:tmpl w:val="64A2CD9A"/>
    <w:lvl w:ilvl="0" w:tentative="0">
      <w:start w:val="1"/>
      <w:numFmt w:val="decimalEnclosedCircleChinese"/>
      <w:suff w:val="nothing"/>
      <w:lvlText w:val="%1　"/>
      <w:lvlJc w:val="left"/>
      <w:pPr>
        <w:ind w:left="0" w:firstLine="400"/>
      </w:pPr>
      <w:rPr>
        <w:rFonts w:hint="eastAsia"/>
      </w:rPr>
    </w:lvl>
  </w:abstractNum>
  <w:abstractNum w:abstractNumId="21">
    <w:nsid w:val="7209AA87"/>
    <w:multiLevelType w:val="singleLevel"/>
    <w:tmpl w:val="7209AA87"/>
    <w:lvl w:ilvl="0" w:tentative="0">
      <w:start w:val="1"/>
      <w:numFmt w:val="chineseCounting"/>
      <w:suff w:val="nothing"/>
      <w:lvlText w:val="%1、"/>
      <w:lvlJc w:val="left"/>
      <w:pPr>
        <w:ind w:left="0" w:firstLine="420"/>
      </w:pPr>
      <w:rPr>
        <w:rFonts w:hint="eastAsia"/>
      </w:rPr>
    </w:lvl>
  </w:abstractNum>
  <w:abstractNum w:abstractNumId="22">
    <w:nsid w:val="79E231FC"/>
    <w:multiLevelType w:val="multilevel"/>
    <w:tmpl w:val="79E231FC"/>
    <w:lvl w:ilvl="0" w:tentative="0">
      <w:start w:val="1"/>
      <w:numFmt w:val="decimal"/>
      <w:lvlText w:val="(%1)"/>
      <w:lvlJc w:val="left"/>
      <w:pPr>
        <w:ind w:left="900" w:hanging="42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A834794"/>
    <w:multiLevelType w:val="singleLevel"/>
    <w:tmpl w:val="7A834794"/>
    <w:lvl w:ilvl="0" w:tentative="0">
      <w:start w:val="4"/>
      <w:numFmt w:val="decimal"/>
      <w:lvlText w:val="%1."/>
      <w:lvlJc w:val="left"/>
      <w:pPr>
        <w:tabs>
          <w:tab w:val="left" w:pos="312"/>
        </w:tabs>
      </w:pPr>
    </w:lvl>
  </w:abstractNum>
  <w:abstractNum w:abstractNumId="24">
    <w:nsid w:val="7B860EBF"/>
    <w:multiLevelType w:val="multilevel"/>
    <w:tmpl w:val="7B860EBF"/>
    <w:lvl w:ilvl="0" w:tentative="0">
      <w:start w:val="1"/>
      <w:numFmt w:val="decimal"/>
      <w:lvlText w:val="(%1)"/>
      <w:lvlJc w:val="left"/>
      <w:pPr>
        <w:ind w:left="752" w:hanging="420"/>
      </w:pPr>
      <w:rPr>
        <w:rFonts w:hint="default"/>
      </w:rPr>
    </w:lvl>
    <w:lvl w:ilvl="1" w:tentative="0">
      <w:start w:val="1"/>
      <w:numFmt w:val="lowerLetter"/>
      <w:lvlText w:val="%2)"/>
      <w:lvlJc w:val="left"/>
      <w:pPr>
        <w:ind w:left="1172" w:hanging="420"/>
      </w:pPr>
    </w:lvl>
    <w:lvl w:ilvl="2" w:tentative="0">
      <w:start w:val="1"/>
      <w:numFmt w:val="lowerRoman"/>
      <w:lvlText w:val="%3."/>
      <w:lvlJc w:val="right"/>
      <w:pPr>
        <w:ind w:left="1592" w:hanging="420"/>
      </w:pPr>
    </w:lvl>
    <w:lvl w:ilvl="3" w:tentative="0">
      <w:start w:val="1"/>
      <w:numFmt w:val="decimal"/>
      <w:lvlText w:val="%4."/>
      <w:lvlJc w:val="left"/>
      <w:pPr>
        <w:ind w:left="2012" w:hanging="420"/>
      </w:pPr>
    </w:lvl>
    <w:lvl w:ilvl="4" w:tentative="0">
      <w:start w:val="1"/>
      <w:numFmt w:val="lowerLetter"/>
      <w:lvlText w:val="%5)"/>
      <w:lvlJc w:val="left"/>
      <w:pPr>
        <w:ind w:left="2432" w:hanging="420"/>
      </w:pPr>
    </w:lvl>
    <w:lvl w:ilvl="5" w:tentative="0">
      <w:start w:val="1"/>
      <w:numFmt w:val="lowerRoman"/>
      <w:lvlText w:val="%6."/>
      <w:lvlJc w:val="right"/>
      <w:pPr>
        <w:ind w:left="2852" w:hanging="420"/>
      </w:pPr>
    </w:lvl>
    <w:lvl w:ilvl="6" w:tentative="0">
      <w:start w:val="1"/>
      <w:numFmt w:val="decimal"/>
      <w:lvlText w:val="%7."/>
      <w:lvlJc w:val="left"/>
      <w:pPr>
        <w:ind w:left="3272" w:hanging="420"/>
      </w:pPr>
    </w:lvl>
    <w:lvl w:ilvl="7" w:tentative="0">
      <w:start w:val="1"/>
      <w:numFmt w:val="lowerLetter"/>
      <w:lvlText w:val="%8)"/>
      <w:lvlJc w:val="left"/>
      <w:pPr>
        <w:ind w:left="3692" w:hanging="420"/>
      </w:pPr>
    </w:lvl>
    <w:lvl w:ilvl="8" w:tentative="0">
      <w:start w:val="1"/>
      <w:numFmt w:val="lowerRoman"/>
      <w:lvlText w:val="%9."/>
      <w:lvlJc w:val="right"/>
      <w:pPr>
        <w:ind w:left="4112" w:hanging="420"/>
      </w:pPr>
    </w:lvl>
  </w:abstractNum>
  <w:num w:numId="1">
    <w:abstractNumId w:val="23"/>
  </w:num>
  <w:num w:numId="2">
    <w:abstractNumId w:val="10"/>
  </w:num>
  <w:num w:numId="3">
    <w:abstractNumId w:val="12"/>
  </w:num>
  <w:num w:numId="4">
    <w:abstractNumId w:val="11"/>
  </w:num>
  <w:num w:numId="5">
    <w:abstractNumId w:val="4"/>
  </w:num>
  <w:num w:numId="6">
    <w:abstractNumId w:val="16"/>
  </w:num>
  <w:num w:numId="7">
    <w:abstractNumId w:val="13"/>
  </w:num>
  <w:num w:numId="8">
    <w:abstractNumId w:val="0"/>
  </w:num>
  <w:num w:numId="9">
    <w:abstractNumId w:val="20"/>
  </w:num>
  <w:num w:numId="10">
    <w:abstractNumId w:val="6"/>
    <w:lvlOverride w:ilvl="0">
      <w:startOverride w:val="1"/>
    </w:lvlOverride>
  </w:num>
  <w:num w:numId="11">
    <w:abstractNumId w:val="14"/>
  </w:num>
  <w:num w:numId="12">
    <w:abstractNumId w:val="5"/>
  </w:num>
  <w:num w:numId="13">
    <w:abstractNumId w:val="3"/>
  </w:num>
  <w:num w:numId="14">
    <w:abstractNumId w:val="24"/>
  </w:num>
  <w:num w:numId="15">
    <w:abstractNumId w:val="8"/>
  </w:num>
  <w:num w:numId="16">
    <w:abstractNumId w:val="9"/>
  </w:num>
  <w:num w:numId="17">
    <w:abstractNumId w:val="22"/>
  </w:num>
  <w:num w:numId="18">
    <w:abstractNumId w:val="15"/>
  </w:num>
  <w:num w:numId="19">
    <w:abstractNumId w:val="18"/>
  </w:num>
  <w:num w:numId="20">
    <w:abstractNumId w:val="2"/>
  </w:num>
  <w:num w:numId="21">
    <w:abstractNumId w:val="7"/>
  </w:num>
  <w:num w:numId="22">
    <w:abstractNumId w:val="1"/>
  </w:num>
  <w:num w:numId="23">
    <w:abstractNumId w:val="19"/>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71"/>
    <w:rsid w:val="00003F7F"/>
    <w:rsid w:val="0000524D"/>
    <w:rsid w:val="000058C1"/>
    <w:rsid w:val="00006719"/>
    <w:rsid w:val="000069A2"/>
    <w:rsid w:val="0001069C"/>
    <w:rsid w:val="000107D3"/>
    <w:rsid w:val="000165A9"/>
    <w:rsid w:val="0002136E"/>
    <w:rsid w:val="00024659"/>
    <w:rsid w:val="00024824"/>
    <w:rsid w:val="0002515A"/>
    <w:rsid w:val="00025885"/>
    <w:rsid w:val="0002770A"/>
    <w:rsid w:val="000312E0"/>
    <w:rsid w:val="00040CF9"/>
    <w:rsid w:val="00044334"/>
    <w:rsid w:val="00044ADD"/>
    <w:rsid w:val="00045C5F"/>
    <w:rsid w:val="00050F78"/>
    <w:rsid w:val="00051B89"/>
    <w:rsid w:val="00053ED4"/>
    <w:rsid w:val="00057D4C"/>
    <w:rsid w:val="00060C51"/>
    <w:rsid w:val="000645C2"/>
    <w:rsid w:val="00072AF3"/>
    <w:rsid w:val="00073D98"/>
    <w:rsid w:val="000742B1"/>
    <w:rsid w:val="00076388"/>
    <w:rsid w:val="00077D0A"/>
    <w:rsid w:val="00081FBE"/>
    <w:rsid w:val="00084EC2"/>
    <w:rsid w:val="00085DDC"/>
    <w:rsid w:val="000865DB"/>
    <w:rsid w:val="000911DA"/>
    <w:rsid w:val="00092263"/>
    <w:rsid w:val="000929C4"/>
    <w:rsid w:val="00092ACD"/>
    <w:rsid w:val="000931D3"/>
    <w:rsid w:val="00093D64"/>
    <w:rsid w:val="000A10EB"/>
    <w:rsid w:val="000A4F04"/>
    <w:rsid w:val="000A64FC"/>
    <w:rsid w:val="000A6C4C"/>
    <w:rsid w:val="000B48F8"/>
    <w:rsid w:val="000B5189"/>
    <w:rsid w:val="000B7EFB"/>
    <w:rsid w:val="000C06DC"/>
    <w:rsid w:val="000C301D"/>
    <w:rsid w:val="000C4B30"/>
    <w:rsid w:val="000D02EF"/>
    <w:rsid w:val="000D2760"/>
    <w:rsid w:val="000E189A"/>
    <w:rsid w:val="000E348C"/>
    <w:rsid w:val="000E4A5C"/>
    <w:rsid w:val="001054F1"/>
    <w:rsid w:val="0010774A"/>
    <w:rsid w:val="00110C08"/>
    <w:rsid w:val="00121418"/>
    <w:rsid w:val="00121538"/>
    <w:rsid w:val="00121E65"/>
    <w:rsid w:val="00124461"/>
    <w:rsid w:val="00124569"/>
    <w:rsid w:val="0012490B"/>
    <w:rsid w:val="00126E44"/>
    <w:rsid w:val="001275AA"/>
    <w:rsid w:val="00135BC6"/>
    <w:rsid w:val="00142416"/>
    <w:rsid w:val="00151F02"/>
    <w:rsid w:val="00152FE0"/>
    <w:rsid w:val="001547F2"/>
    <w:rsid w:val="00156FF6"/>
    <w:rsid w:val="00163857"/>
    <w:rsid w:val="001677DE"/>
    <w:rsid w:val="00172FAD"/>
    <w:rsid w:val="00173E3F"/>
    <w:rsid w:val="00176BE0"/>
    <w:rsid w:val="0017798B"/>
    <w:rsid w:val="001807DD"/>
    <w:rsid w:val="00181A4B"/>
    <w:rsid w:val="001824D8"/>
    <w:rsid w:val="00182C0F"/>
    <w:rsid w:val="00186BC7"/>
    <w:rsid w:val="00197A54"/>
    <w:rsid w:val="00197F08"/>
    <w:rsid w:val="001A0E97"/>
    <w:rsid w:val="001A16A1"/>
    <w:rsid w:val="001A34F8"/>
    <w:rsid w:val="001A67C7"/>
    <w:rsid w:val="001B31F5"/>
    <w:rsid w:val="001B3D9C"/>
    <w:rsid w:val="001B4275"/>
    <w:rsid w:val="001C1F11"/>
    <w:rsid w:val="001C5C39"/>
    <w:rsid w:val="001C6F24"/>
    <w:rsid w:val="001D0ADF"/>
    <w:rsid w:val="001D1E24"/>
    <w:rsid w:val="001D7B2E"/>
    <w:rsid w:val="001E0C6C"/>
    <w:rsid w:val="001E6FF7"/>
    <w:rsid w:val="001F01FA"/>
    <w:rsid w:val="001F5A05"/>
    <w:rsid w:val="001F5B78"/>
    <w:rsid w:val="001F6025"/>
    <w:rsid w:val="00200239"/>
    <w:rsid w:val="00201707"/>
    <w:rsid w:val="0020274F"/>
    <w:rsid w:val="0020462B"/>
    <w:rsid w:val="00206F47"/>
    <w:rsid w:val="0021459B"/>
    <w:rsid w:val="00216B7A"/>
    <w:rsid w:val="00220506"/>
    <w:rsid w:val="002206AD"/>
    <w:rsid w:val="002216C9"/>
    <w:rsid w:val="002221EA"/>
    <w:rsid w:val="00223F7C"/>
    <w:rsid w:val="00224A9B"/>
    <w:rsid w:val="002266DD"/>
    <w:rsid w:val="00231283"/>
    <w:rsid w:val="00232ADB"/>
    <w:rsid w:val="00244E46"/>
    <w:rsid w:val="00247366"/>
    <w:rsid w:val="00251AAC"/>
    <w:rsid w:val="00253FBF"/>
    <w:rsid w:val="00256897"/>
    <w:rsid w:val="002624C1"/>
    <w:rsid w:val="00267000"/>
    <w:rsid w:val="002750BD"/>
    <w:rsid w:val="00275876"/>
    <w:rsid w:val="00277EDD"/>
    <w:rsid w:val="002801BA"/>
    <w:rsid w:val="00280333"/>
    <w:rsid w:val="002863B8"/>
    <w:rsid w:val="002907B3"/>
    <w:rsid w:val="00292D29"/>
    <w:rsid w:val="0029352A"/>
    <w:rsid w:val="00294D2E"/>
    <w:rsid w:val="00295F3E"/>
    <w:rsid w:val="00296E7B"/>
    <w:rsid w:val="0029785F"/>
    <w:rsid w:val="002A0A73"/>
    <w:rsid w:val="002A6F12"/>
    <w:rsid w:val="002A76D7"/>
    <w:rsid w:val="002B269A"/>
    <w:rsid w:val="002B6283"/>
    <w:rsid w:val="002C0CFD"/>
    <w:rsid w:val="002C5769"/>
    <w:rsid w:val="002D3CBC"/>
    <w:rsid w:val="002D7F87"/>
    <w:rsid w:val="002E111E"/>
    <w:rsid w:val="002E2622"/>
    <w:rsid w:val="002E4CE9"/>
    <w:rsid w:val="002E697F"/>
    <w:rsid w:val="002F2EB6"/>
    <w:rsid w:val="002F7F15"/>
    <w:rsid w:val="00301A3E"/>
    <w:rsid w:val="00302E8D"/>
    <w:rsid w:val="003050D1"/>
    <w:rsid w:val="00306E56"/>
    <w:rsid w:val="00314F23"/>
    <w:rsid w:val="003213E6"/>
    <w:rsid w:val="00326CDB"/>
    <w:rsid w:val="0033077D"/>
    <w:rsid w:val="00330BDE"/>
    <w:rsid w:val="003317BD"/>
    <w:rsid w:val="00335245"/>
    <w:rsid w:val="003360A9"/>
    <w:rsid w:val="003418AC"/>
    <w:rsid w:val="0034276B"/>
    <w:rsid w:val="00344927"/>
    <w:rsid w:val="00344C9B"/>
    <w:rsid w:val="0034748E"/>
    <w:rsid w:val="00351FB8"/>
    <w:rsid w:val="00352F3D"/>
    <w:rsid w:val="00356730"/>
    <w:rsid w:val="00363739"/>
    <w:rsid w:val="00366B3E"/>
    <w:rsid w:val="00366E5C"/>
    <w:rsid w:val="0037704F"/>
    <w:rsid w:val="00377239"/>
    <w:rsid w:val="003802FF"/>
    <w:rsid w:val="0038048A"/>
    <w:rsid w:val="00383C68"/>
    <w:rsid w:val="00385A5B"/>
    <w:rsid w:val="003912CE"/>
    <w:rsid w:val="003944A1"/>
    <w:rsid w:val="003964F4"/>
    <w:rsid w:val="003A0D48"/>
    <w:rsid w:val="003A190C"/>
    <w:rsid w:val="003A5883"/>
    <w:rsid w:val="003A60D2"/>
    <w:rsid w:val="003A6CB6"/>
    <w:rsid w:val="003A6F2C"/>
    <w:rsid w:val="003B2B85"/>
    <w:rsid w:val="003B4A4C"/>
    <w:rsid w:val="003B702C"/>
    <w:rsid w:val="003C56BB"/>
    <w:rsid w:val="003C60C6"/>
    <w:rsid w:val="003C7AB5"/>
    <w:rsid w:val="003D1FB4"/>
    <w:rsid w:val="003D455C"/>
    <w:rsid w:val="003D68B0"/>
    <w:rsid w:val="003E051E"/>
    <w:rsid w:val="003E06EB"/>
    <w:rsid w:val="003E345E"/>
    <w:rsid w:val="003E3DD8"/>
    <w:rsid w:val="003F42E2"/>
    <w:rsid w:val="003F57E9"/>
    <w:rsid w:val="003F6383"/>
    <w:rsid w:val="00400E0C"/>
    <w:rsid w:val="00402AAC"/>
    <w:rsid w:val="00404AF7"/>
    <w:rsid w:val="00406EBA"/>
    <w:rsid w:val="00407DC1"/>
    <w:rsid w:val="0041049E"/>
    <w:rsid w:val="00411341"/>
    <w:rsid w:val="00411CEE"/>
    <w:rsid w:val="00413236"/>
    <w:rsid w:val="00413F36"/>
    <w:rsid w:val="00415C45"/>
    <w:rsid w:val="0042011E"/>
    <w:rsid w:val="00424849"/>
    <w:rsid w:val="00424894"/>
    <w:rsid w:val="00426CE3"/>
    <w:rsid w:val="00431F72"/>
    <w:rsid w:val="0043276E"/>
    <w:rsid w:val="004414BF"/>
    <w:rsid w:val="0044207D"/>
    <w:rsid w:val="00443533"/>
    <w:rsid w:val="00443E97"/>
    <w:rsid w:val="004505A3"/>
    <w:rsid w:val="00452874"/>
    <w:rsid w:val="00453739"/>
    <w:rsid w:val="00466A80"/>
    <w:rsid w:val="00470921"/>
    <w:rsid w:val="0047329E"/>
    <w:rsid w:val="00475C83"/>
    <w:rsid w:val="00475DA7"/>
    <w:rsid w:val="004809BA"/>
    <w:rsid w:val="0049072E"/>
    <w:rsid w:val="0049282D"/>
    <w:rsid w:val="00496AB2"/>
    <w:rsid w:val="00497BAC"/>
    <w:rsid w:val="004A12B2"/>
    <w:rsid w:val="004B08F5"/>
    <w:rsid w:val="004B5935"/>
    <w:rsid w:val="004B7477"/>
    <w:rsid w:val="004C4D92"/>
    <w:rsid w:val="004D0E1A"/>
    <w:rsid w:val="004D1441"/>
    <w:rsid w:val="004D268D"/>
    <w:rsid w:val="004D4774"/>
    <w:rsid w:val="004D65B9"/>
    <w:rsid w:val="004E22CA"/>
    <w:rsid w:val="004E30C1"/>
    <w:rsid w:val="004E4030"/>
    <w:rsid w:val="004F4739"/>
    <w:rsid w:val="004F76D4"/>
    <w:rsid w:val="00500B77"/>
    <w:rsid w:val="0050117E"/>
    <w:rsid w:val="005027CC"/>
    <w:rsid w:val="00503087"/>
    <w:rsid w:val="00507B79"/>
    <w:rsid w:val="00510351"/>
    <w:rsid w:val="0051086A"/>
    <w:rsid w:val="005139A1"/>
    <w:rsid w:val="00514C06"/>
    <w:rsid w:val="00515A3B"/>
    <w:rsid w:val="00527352"/>
    <w:rsid w:val="00527548"/>
    <w:rsid w:val="005310D7"/>
    <w:rsid w:val="00532302"/>
    <w:rsid w:val="00535552"/>
    <w:rsid w:val="00537328"/>
    <w:rsid w:val="00541788"/>
    <w:rsid w:val="00545D2B"/>
    <w:rsid w:val="00557C5F"/>
    <w:rsid w:val="005648BE"/>
    <w:rsid w:val="00574C74"/>
    <w:rsid w:val="005752B4"/>
    <w:rsid w:val="00582F2E"/>
    <w:rsid w:val="0058303F"/>
    <w:rsid w:val="00584F02"/>
    <w:rsid w:val="0059612B"/>
    <w:rsid w:val="005A30AD"/>
    <w:rsid w:val="005A4B39"/>
    <w:rsid w:val="005A4D7B"/>
    <w:rsid w:val="005A75EF"/>
    <w:rsid w:val="005B3629"/>
    <w:rsid w:val="005B6F47"/>
    <w:rsid w:val="005C34E6"/>
    <w:rsid w:val="005C66F8"/>
    <w:rsid w:val="005E1EBA"/>
    <w:rsid w:val="005E4470"/>
    <w:rsid w:val="005E537F"/>
    <w:rsid w:val="005F1A8B"/>
    <w:rsid w:val="005F561D"/>
    <w:rsid w:val="00601746"/>
    <w:rsid w:val="0060184E"/>
    <w:rsid w:val="006018EB"/>
    <w:rsid w:val="00603862"/>
    <w:rsid w:val="0060699E"/>
    <w:rsid w:val="0061729A"/>
    <w:rsid w:val="0062432A"/>
    <w:rsid w:val="00625DAA"/>
    <w:rsid w:val="00627EB5"/>
    <w:rsid w:val="00632C1F"/>
    <w:rsid w:val="00632FB8"/>
    <w:rsid w:val="00635DCE"/>
    <w:rsid w:val="006367A6"/>
    <w:rsid w:val="0064492F"/>
    <w:rsid w:val="00647F28"/>
    <w:rsid w:val="00650FFB"/>
    <w:rsid w:val="00651394"/>
    <w:rsid w:val="006515A4"/>
    <w:rsid w:val="006609B0"/>
    <w:rsid w:val="00661B19"/>
    <w:rsid w:val="0066253A"/>
    <w:rsid w:val="00664BD8"/>
    <w:rsid w:val="00667308"/>
    <w:rsid w:val="0067195D"/>
    <w:rsid w:val="006755B5"/>
    <w:rsid w:val="0068148B"/>
    <w:rsid w:val="00681BBC"/>
    <w:rsid w:val="006825E9"/>
    <w:rsid w:val="006828B1"/>
    <w:rsid w:val="006848A5"/>
    <w:rsid w:val="00686FF6"/>
    <w:rsid w:val="00696F7C"/>
    <w:rsid w:val="006A00C6"/>
    <w:rsid w:val="006A483A"/>
    <w:rsid w:val="006A505F"/>
    <w:rsid w:val="006A66D0"/>
    <w:rsid w:val="006A712F"/>
    <w:rsid w:val="006A7A63"/>
    <w:rsid w:val="006A7E90"/>
    <w:rsid w:val="006B56C1"/>
    <w:rsid w:val="006B6619"/>
    <w:rsid w:val="006D0FFD"/>
    <w:rsid w:val="006D216C"/>
    <w:rsid w:val="006D7D4A"/>
    <w:rsid w:val="006E6567"/>
    <w:rsid w:val="006F347C"/>
    <w:rsid w:val="006F347D"/>
    <w:rsid w:val="006F43A2"/>
    <w:rsid w:val="006F4C0B"/>
    <w:rsid w:val="006F57DD"/>
    <w:rsid w:val="006F5B13"/>
    <w:rsid w:val="006F5BD7"/>
    <w:rsid w:val="006F6D10"/>
    <w:rsid w:val="00700BAF"/>
    <w:rsid w:val="00701050"/>
    <w:rsid w:val="00701B94"/>
    <w:rsid w:val="0070220F"/>
    <w:rsid w:val="0070513D"/>
    <w:rsid w:val="007121CC"/>
    <w:rsid w:val="00713338"/>
    <w:rsid w:val="007166A6"/>
    <w:rsid w:val="007205A3"/>
    <w:rsid w:val="0072362B"/>
    <w:rsid w:val="007324B8"/>
    <w:rsid w:val="00732799"/>
    <w:rsid w:val="0073508D"/>
    <w:rsid w:val="007355B4"/>
    <w:rsid w:val="00742F3B"/>
    <w:rsid w:val="00743EA3"/>
    <w:rsid w:val="00752646"/>
    <w:rsid w:val="007551FE"/>
    <w:rsid w:val="0075602E"/>
    <w:rsid w:val="00756E95"/>
    <w:rsid w:val="007663AE"/>
    <w:rsid w:val="007728E9"/>
    <w:rsid w:val="00773271"/>
    <w:rsid w:val="007743C9"/>
    <w:rsid w:val="00775AD1"/>
    <w:rsid w:val="0077659B"/>
    <w:rsid w:val="00777DE0"/>
    <w:rsid w:val="00781926"/>
    <w:rsid w:val="00782B57"/>
    <w:rsid w:val="0078317C"/>
    <w:rsid w:val="0079398F"/>
    <w:rsid w:val="007A7086"/>
    <w:rsid w:val="007B026D"/>
    <w:rsid w:val="007B22FD"/>
    <w:rsid w:val="007B7003"/>
    <w:rsid w:val="007B70EE"/>
    <w:rsid w:val="007B759C"/>
    <w:rsid w:val="007B7E23"/>
    <w:rsid w:val="007C17CD"/>
    <w:rsid w:val="007C22E3"/>
    <w:rsid w:val="007E4DE8"/>
    <w:rsid w:val="007F094F"/>
    <w:rsid w:val="007F2871"/>
    <w:rsid w:val="007F31B9"/>
    <w:rsid w:val="00802089"/>
    <w:rsid w:val="00804044"/>
    <w:rsid w:val="00804CB0"/>
    <w:rsid w:val="00806F5B"/>
    <w:rsid w:val="00811691"/>
    <w:rsid w:val="00814022"/>
    <w:rsid w:val="00816234"/>
    <w:rsid w:val="008219C0"/>
    <w:rsid w:val="00821F47"/>
    <w:rsid w:val="00830985"/>
    <w:rsid w:val="008328CA"/>
    <w:rsid w:val="008336C3"/>
    <w:rsid w:val="008375FE"/>
    <w:rsid w:val="0084001D"/>
    <w:rsid w:val="00840620"/>
    <w:rsid w:val="00842AB4"/>
    <w:rsid w:val="00846BA2"/>
    <w:rsid w:val="008502A4"/>
    <w:rsid w:val="0085656D"/>
    <w:rsid w:val="00856DC6"/>
    <w:rsid w:val="00857BC6"/>
    <w:rsid w:val="00860924"/>
    <w:rsid w:val="00860FD5"/>
    <w:rsid w:val="0086177C"/>
    <w:rsid w:val="00866E01"/>
    <w:rsid w:val="00866F1C"/>
    <w:rsid w:val="00883DBA"/>
    <w:rsid w:val="0088517C"/>
    <w:rsid w:val="0089107B"/>
    <w:rsid w:val="00892635"/>
    <w:rsid w:val="00894FCF"/>
    <w:rsid w:val="008A1677"/>
    <w:rsid w:val="008A5DDC"/>
    <w:rsid w:val="008B3F3D"/>
    <w:rsid w:val="008B4603"/>
    <w:rsid w:val="008B552E"/>
    <w:rsid w:val="008C2EFA"/>
    <w:rsid w:val="008D2A82"/>
    <w:rsid w:val="008D42D4"/>
    <w:rsid w:val="008D513B"/>
    <w:rsid w:val="008D6F6E"/>
    <w:rsid w:val="008E0B75"/>
    <w:rsid w:val="008E1BC6"/>
    <w:rsid w:val="008E7792"/>
    <w:rsid w:val="008F12DF"/>
    <w:rsid w:val="008F1318"/>
    <w:rsid w:val="008F153D"/>
    <w:rsid w:val="008F1C7A"/>
    <w:rsid w:val="00901B18"/>
    <w:rsid w:val="00904B2F"/>
    <w:rsid w:val="00905395"/>
    <w:rsid w:val="0091277F"/>
    <w:rsid w:val="009166C8"/>
    <w:rsid w:val="00931333"/>
    <w:rsid w:val="00933F92"/>
    <w:rsid w:val="00941475"/>
    <w:rsid w:val="0094373F"/>
    <w:rsid w:val="00944941"/>
    <w:rsid w:val="009531C3"/>
    <w:rsid w:val="009551F6"/>
    <w:rsid w:val="00963358"/>
    <w:rsid w:val="00973E2B"/>
    <w:rsid w:val="00974453"/>
    <w:rsid w:val="00980792"/>
    <w:rsid w:val="009824AB"/>
    <w:rsid w:val="00984ABA"/>
    <w:rsid w:val="00984F27"/>
    <w:rsid w:val="00986E52"/>
    <w:rsid w:val="00990143"/>
    <w:rsid w:val="00990BC4"/>
    <w:rsid w:val="00993159"/>
    <w:rsid w:val="009A09B4"/>
    <w:rsid w:val="009A1A29"/>
    <w:rsid w:val="009B15E4"/>
    <w:rsid w:val="009C06AD"/>
    <w:rsid w:val="009C168F"/>
    <w:rsid w:val="009C31D3"/>
    <w:rsid w:val="009C5A82"/>
    <w:rsid w:val="009E0B8B"/>
    <w:rsid w:val="009E1561"/>
    <w:rsid w:val="009E26B5"/>
    <w:rsid w:val="009F06EB"/>
    <w:rsid w:val="009F3C49"/>
    <w:rsid w:val="009F4F01"/>
    <w:rsid w:val="00A033C4"/>
    <w:rsid w:val="00A0586E"/>
    <w:rsid w:val="00A07563"/>
    <w:rsid w:val="00A134E7"/>
    <w:rsid w:val="00A16FAE"/>
    <w:rsid w:val="00A249DC"/>
    <w:rsid w:val="00A34A02"/>
    <w:rsid w:val="00A438CB"/>
    <w:rsid w:val="00A454FB"/>
    <w:rsid w:val="00A45EBC"/>
    <w:rsid w:val="00A5017C"/>
    <w:rsid w:val="00A50675"/>
    <w:rsid w:val="00A50FF0"/>
    <w:rsid w:val="00A548E5"/>
    <w:rsid w:val="00A67B08"/>
    <w:rsid w:val="00A67C38"/>
    <w:rsid w:val="00A76440"/>
    <w:rsid w:val="00A77F5D"/>
    <w:rsid w:val="00A80E10"/>
    <w:rsid w:val="00A8169E"/>
    <w:rsid w:val="00A829AB"/>
    <w:rsid w:val="00A82B9F"/>
    <w:rsid w:val="00A83BA6"/>
    <w:rsid w:val="00A8443E"/>
    <w:rsid w:val="00A847AA"/>
    <w:rsid w:val="00A84F2E"/>
    <w:rsid w:val="00A8511A"/>
    <w:rsid w:val="00A86489"/>
    <w:rsid w:val="00A91978"/>
    <w:rsid w:val="00A97371"/>
    <w:rsid w:val="00AA3D59"/>
    <w:rsid w:val="00AC313A"/>
    <w:rsid w:val="00AC4459"/>
    <w:rsid w:val="00AC4F5E"/>
    <w:rsid w:val="00AC5366"/>
    <w:rsid w:val="00AC65A7"/>
    <w:rsid w:val="00AC65B7"/>
    <w:rsid w:val="00AD139C"/>
    <w:rsid w:val="00AD3576"/>
    <w:rsid w:val="00AD37A1"/>
    <w:rsid w:val="00AD5F83"/>
    <w:rsid w:val="00AE44A3"/>
    <w:rsid w:val="00AF0F75"/>
    <w:rsid w:val="00AF3ED7"/>
    <w:rsid w:val="00AF42A3"/>
    <w:rsid w:val="00AF4E36"/>
    <w:rsid w:val="00AF56CA"/>
    <w:rsid w:val="00AF6223"/>
    <w:rsid w:val="00AF6E22"/>
    <w:rsid w:val="00B02364"/>
    <w:rsid w:val="00B036B9"/>
    <w:rsid w:val="00B03DE3"/>
    <w:rsid w:val="00B04B90"/>
    <w:rsid w:val="00B0586A"/>
    <w:rsid w:val="00B05908"/>
    <w:rsid w:val="00B16374"/>
    <w:rsid w:val="00B16586"/>
    <w:rsid w:val="00B213C8"/>
    <w:rsid w:val="00B228FF"/>
    <w:rsid w:val="00B24925"/>
    <w:rsid w:val="00B24DF2"/>
    <w:rsid w:val="00B35776"/>
    <w:rsid w:val="00B35DC9"/>
    <w:rsid w:val="00B402FC"/>
    <w:rsid w:val="00B40387"/>
    <w:rsid w:val="00B41AE3"/>
    <w:rsid w:val="00B431D4"/>
    <w:rsid w:val="00B4389F"/>
    <w:rsid w:val="00B44542"/>
    <w:rsid w:val="00B47D57"/>
    <w:rsid w:val="00B52264"/>
    <w:rsid w:val="00B60314"/>
    <w:rsid w:val="00B60618"/>
    <w:rsid w:val="00B6262D"/>
    <w:rsid w:val="00B65918"/>
    <w:rsid w:val="00B71BC2"/>
    <w:rsid w:val="00B739DC"/>
    <w:rsid w:val="00B74AB2"/>
    <w:rsid w:val="00B74C15"/>
    <w:rsid w:val="00B86E9A"/>
    <w:rsid w:val="00B87BFA"/>
    <w:rsid w:val="00B938B7"/>
    <w:rsid w:val="00B9484E"/>
    <w:rsid w:val="00BA17BE"/>
    <w:rsid w:val="00BA2890"/>
    <w:rsid w:val="00BA3CDD"/>
    <w:rsid w:val="00BA412B"/>
    <w:rsid w:val="00BB2050"/>
    <w:rsid w:val="00BB2755"/>
    <w:rsid w:val="00BB3388"/>
    <w:rsid w:val="00BB3D45"/>
    <w:rsid w:val="00BB734A"/>
    <w:rsid w:val="00BC08F9"/>
    <w:rsid w:val="00BC1983"/>
    <w:rsid w:val="00BC30E8"/>
    <w:rsid w:val="00BC5A7C"/>
    <w:rsid w:val="00BC7779"/>
    <w:rsid w:val="00BD04AE"/>
    <w:rsid w:val="00BD5C03"/>
    <w:rsid w:val="00BE25CA"/>
    <w:rsid w:val="00BE5D0E"/>
    <w:rsid w:val="00BF4CCA"/>
    <w:rsid w:val="00BF5BEE"/>
    <w:rsid w:val="00C056BE"/>
    <w:rsid w:val="00C109DB"/>
    <w:rsid w:val="00C118FE"/>
    <w:rsid w:val="00C169FE"/>
    <w:rsid w:val="00C170B1"/>
    <w:rsid w:val="00C20549"/>
    <w:rsid w:val="00C2245A"/>
    <w:rsid w:val="00C31D48"/>
    <w:rsid w:val="00C32D31"/>
    <w:rsid w:val="00C35A71"/>
    <w:rsid w:val="00C400B0"/>
    <w:rsid w:val="00C401CB"/>
    <w:rsid w:val="00C4041D"/>
    <w:rsid w:val="00C41F20"/>
    <w:rsid w:val="00C42918"/>
    <w:rsid w:val="00C436B7"/>
    <w:rsid w:val="00C44BDB"/>
    <w:rsid w:val="00C470CF"/>
    <w:rsid w:val="00C5151E"/>
    <w:rsid w:val="00C516A6"/>
    <w:rsid w:val="00C51871"/>
    <w:rsid w:val="00C522A9"/>
    <w:rsid w:val="00C53C1D"/>
    <w:rsid w:val="00C53E36"/>
    <w:rsid w:val="00C54476"/>
    <w:rsid w:val="00C56501"/>
    <w:rsid w:val="00C65DED"/>
    <w:rsid w:val="00C66A22"/>
    <w:rsid w:val="00C67095"/>
    <w:rsid w:val="00C71D9F"/>
    <w:rsid w:val="00C745F2"/>
    <w:rsid w:val="00C74A50"/>
    <w:rsid w:val="00C76256"/>
    <w:rsid w:val="00C7672C"/>
    <w:rsid w:val="00C8222B"/>
    <w:rsid w:val="00C85DF6"/>
    <w:rsid w:val="00C86D4D"/>
    <w:rsid w:val="00C92FA9"/>
    <w:rsid w:val="00CA14E5"/>
    <w:rsid w:val="00CA17B1"/>
    <w:rsid w:val="00CA377B"/>
    <w:rsid w:val="00CA3D34"/>
    <w:rsid w:val="00CA4AF5"/>
    <w:rsid w:val="00CA67F9"/>
    <w:rsid w:val="00CB075B"/>
    <w:rsid w:val="00CB10CD"/>
    <w:rsid w:val="00CB1760"/>
    <w:rsid w:val="00CB1D01"/>
    <w:rsid w:val="00CB6346"/>
    <w:rsid w:val="00CC193F"/>
    <w:rsid w:val="00CC4755"/>
    <w:rsid w:val="00CC6331"/>
    <w:rsid w:val="00CC70D8"/>
    <w:rsid w:val="00CC74FD"/>
    <w:rsid w:val="00CD43F5"/>
    <w:rsid w:val="00CD741C"/>
    <w:rsid w:val="00CE263D"/>
    <w:rsid w:val="00CE4511"/>
    <w:rsid w:val="00CE7DDB"/>
    <w:rsid w:val="00CF36B0"/>
    <w:rsid w:val="00CF46A2"/>
    <w:rsid w:val="00D0417E"/>
    <w:rsid w:val="00D06B4C"/>
    <w:rsid w:val="00D10D9F"/>
    <w:rsid w:val="00D112E3"/>
    <w:rsid w:val="00D1339A"/>
    <w:rsid w:val="00D15A27"/>
    <w:rsid w:val="00D1618E"/>
    <w:rsid w:val="00D21447"/>
    <w:rsid w:val="00D235A0"/>
    <w:rsid w:val="00D23A8A"/>
    <w:rsid w:val="00D350CB"/>
    <w:rsid w:val="00D35205"/>
    <w:rsid w:val="00D35C40"/>
    <w:rsid w:val="00D37396"/>
    <w:rsid w:val="00D407CA"/>
    <w:rsid w:val="00D41023"/>
    <w:rsid w:val="00D42393"/>
    <w:rsid w:val="00D42A8A"/>
    <w:rsid w:val="00D43A55"/>
    <w:rsid w:val="00D43AA4"/>
    <w:rsid w:val="00D52FF2"/>
    <w:rsid w:val="00D53BBA"/>
    <w:rsid w:val="00D55089"/>
    <w:rsid w:val="00D57481"/>
    <w:rsid w:val="00D60B18"/>
    <w:rsid w:val="00D63748"/>
    <w:rsid w:val="00D660EF"/>
    <w:rsid w:val="00D710B0"/>
    <w:rsid w:val="00D71CF1"/>
    <w:rsid w:val="00D723EE"/>
    <w:rsid w:val="00D72D02"/>
    <w:rsid w:val="00D730DC"/>
    <w:rsid w:val="00D7491F"/>
    <w:rsid w:val="00D7769C"/>
    <w:rsid w:val="00D82373"/>
    <w:rsid w:val="00D8443C"/>
    <w:rsid w:val="00D86A88"/>
    <w:rsid w:val="00D87B00"/>
    <w:rsid w:val="00D9032F"/>
    <w:rsid w:val="00D90971"/>
    <w:rsid w:val="00D95312"/>
    <w:rsid w:val="00D97FCF"/>
    <w:rsid w:val="00DA0F80"/>
    <w:rsid w:val="00DA68B9"/>
    <w:rsid w:val="00DA71E7"/>
    <w:rsid w:val="00DB2FE3"/>
    <w:rsid w:val="00DB7C39"/>
    <w:rsid w:val="00DB7FFB"/>
    <w:rsid w:val="00DC02C3"/>
    <w:rsid w:val="00DD0E9B"/>
    <w:rsid w:val="00DD16AB"/>
    <w:rsid w:val="00DD7A28"/>
    <w:rsid w:val="00DE0F55"/>
    <w:rsid w:val="00DE18EA"/>
    <w:rsid w:val="00DE3958"/>
    <w:rsid w:val="00DE4842"/>
    <w:rsid w:val="00DF017A"/>
    <w:rsid w:val="00DF14AB"/>
    <w:rsid w:val="00DF163F"/>
    <w:rsid w:val="00DF1B24"/>
    <w:rsid w:val="00DF1D18"/>
    <w:rsid w:val="00DF47BB"/>
    <w:rsid w:val="00DF589B"/>
    <w:rsid w:val="00E011AA"/>
    <w:rsid w:val="00E041AB"/>
    <w:rsid w:val="00E0431B"/>
    <w:rsid w:val="00E10E7E"/>
    <w:rsid w:val="00E15F44"/>
    <w:rsid w:val="00E255BB"/>
    <w:rsid w:val="00E25BB2"/>
    <w:rsid w:val="00E26799"/>
    <w:rsid w:val="00E316A5"/>
    <w:rsid w:val="00E34E6D"/>
    <w:rsid w:val="00E36402"/>
    <w:rsid w:val="00E37B97"/>
    <w:rsid w:val="00E40D97"/>
    <w:rsid w:val="00E41E3C"/>
    <w:rsid w:val="00E42BB4"/>
    <w:rsid w:val="00E4314E"/>
    <w:rsid w:val="00E51EDF"/>
    <w:rsid w:val="00E53EAC"/>
    <w:rsid w:val="00E5431E"/>
    <w:rsid w:val="00E61EDC"/>
    <w:rsid w:val="00E71AD3"/>
    <w:rsid w:val="00E73050"/>
    <w:rsid w:val="00E73DC8"/>
    <w:rsid w:val="00E7406B"/>
    <w:rsid w:val="00E747D1"/>
    <w:rsid w:val="00E7761F"/>
    <w:rsid w:val="00E800E9"/>
    <w:rsid w:val="00E82053"/>
    <w:rsid w:val="00E83372"/>
    <w:rsid w:val="00E8357F"/>
    <w:rsid w:val="00E8522B"/>
    <w:rsid w:val="00E86DAC"/>
    <w:rsid w:val="00E9512F"/>
    <w:rsid w:val="00E9593F"/>
    <w:rsid w:val="00E97C60"/>
    <w:rsid w:val="00EA09B8"/>
    <w:rsid w:val="00EA0A1F"/>
    <w:rsid w:val="00EA17F3"/>
    <w:rsid w:val="00EA3709"/>
    <w:rsid w:val="00EA5FCD"/>
    <w:rsid w:val="00EA75C9"/>
    <w:rsid w:val="00EB0E7E"/>
    <w:rsid w:val="00EB1A2A"/>
    <w:rsid w:val="00EB2B11"/>
    <w:rsid w:val="00EB7B78"/>
    <w:rsid w:val="00EC576A"/>
    <w:rsid w:val="00EC6CF2"/>
    <w:rsid w:val="00EC7990"/>
    <w:rsid w:val="00ED39EE"/>
    <w:rsid w:val="00ED5EB4"/>
    <w:rsid w:val="00ED7453"/>
    <w:rsid w:val="00EE2B4E"/>
    <w:rsid w:val="00EE729D"/>
    <w:rsid w:val="00EE744F"/>
    <w:rsid w:val="00EE7B85"/>
    <w:rsid w:val="00EF0471"/>
    <w:rsid w:val="00EF51B5"/>
    <w:rsid w:val="00EF60C0"/>
    <w:rsid w:val="00EF6550"/>
    <w:rsid w:val="00F007EC"/>
    <w:rsid w:val="00F02527"/>
    <w:rsid w:val="00F04E96"/>
    <w:rsid w:val="00F064B6"/>
    <w:rsid w:val="00F12E99"/>
    <w:rsid w:val="00F152E0"/>
    <w:rsid w:val="00F16ABC"/>
    <w:rsid w:val="00F17672"/>
    <w:rsid w:val="00F20C44"/>
    <w:rsid w:val="00F21DC4"/>
    <w:rsid w:val="00F22E28"/>
    <w:rsid w:val="00F24A50"/>
    <w:rsid w:val="00F2599E"/>
    <w:rsid w:val="00F2789D"/>
    <w:rsid w:val="00F3244C"/>
    <w:rsid w:val="00F3284B"/>
    <w:rsid w:val="00F34ADE"/>
    <w:rsid w:val="00F356C4"/>
    <w:rsid w:val="00F406AD"/>
    <w:rsid w:val="00F45FB9"/>
    <w:rsid w:val="00F47C50"/>
    <w:rsid w:val="00F51BE2"/>
    <w:rsid w:val="00F52B44"/>
    <w:rsid w:val="00F60A7E"/>
    <w:rsid w:val="00F60CE3"/>
    <w:rsid w:val="00F6293B"/>
    <w:rsid w:val="00F73B1E"/>
    <w:rsid w:val="00F7409A"/>
    <w:rsid w:val="00F74702"/>
    <w:rsid w:val="00F747EA"/>
    <w:rsid w:val="00F83BA9"/>
    <w:rsid w:val="00F84700"/>
    <w:rsid w:val="00F84D8E"/>
    <w:rsid w:val="00F8672F"/>
    <w:rsid w:val="00F916D2"/>
    <w:rsid w:val="00F91FC3"/>
    <w:rsid w:val="00F92A28"/>
    <w:rsid w:val="00F95BE7"/>
    <w:rsid w:val="00F95FDF"/>
    <w:rsid w:val="00F960CA"/>
    <w:rsid w:val="00F9761F"/>
    <w:rsid w:val="00FA1241"/>
    <w:rsid w:val="00FA1DB9"/>
    <w:rsid w:val="00FA3F04"/>
    <w:rsid w:val="00FB0E98"/>
    <w:rsid w:val="00FB2863"/>
    <w:rsid w:val="00FB33B4"/>
    <w:rsid w:val="00FB6B5B"/>
    <w:rsid w:val="00FC240C"/>
    <w:rsid w:val="00FC4126"/>
    <w:rsid w:val="00FC4667"/>
    <w:rsid w:val="00FC6189"/>
    <w:rsid w:val="00FD0E3F"/>
    <w:rsid w:val="00FD2393"/>
    <w:rsid w:val="00FD633D"/>
    <w:rsid w:val="00FD72AA"/>
    <w:rsid w:val="00FE27B1"/>
    <w:rsid w:val="00FE3B22"/>
    <w:rsid w:val="00FE5C07"/>
    <w:rsid w:val="00FF05DE"/>
    <w:rsid w:val="00FF1284"/>
    <w:rsid w:val="03AB7ACF"/>
    <w:rsid w:val="04492C42"/>
    <w:rsid w:val="05A23E0E"/>
    <w:rsid w:val="091412BE"/>
    <w:rsid w:val="098D634E"/>
    <w:rsid w:val="09A775CC"/>
    <w:rsid w:val="0A137614"/>
    <w:rsid w:val="0AC11C3B"/>
    <w:rsid w:val="0AE00422"/>
    <w:rsid w:val="0B0A0C81"/>
    <w:rsid w:val="0D0E7CAB"/>
    <w:rsid w:val="10306A36"/>
    <w:rsid w:val="12566CA4"/>
    <w:rsid w:val="128075E3"/>
    <w:rsid w:val="164A64CC"/>
    <w:rsid w:val="17817F09"/>
    <w:rsid w:val="17B71251"/>
    <w:rsid w:val="1F0C07BD"/>
    <w:rsid w:val="1F9B3012"/>
    <w:rsid w:val="204F43EF"/>
    <w:rsid w:val="20E74676"/>
    <w:rsid w:val="216A6B84"/>
    <w:rsid w:val="218E3635"/>
    <w:rsid w:val="22F23082"/>
    <w:rsid w:val="271306C5"/>
    <w:rsid w:val="2AE0596D"/>
    <w:rsid w:val="30AD1936"/>
    <w:rsid w:val="326465D4"/>
    <w:rsid w:val="32915403"/>
    <w:rsid w:val="35187544"/>
    <w:rsid w:val="371A41D8"/>
    <w:rsid w:val="380A298F"/>
    <w:rsid w:val="38BA715A"/>
    <w:rsid w:val="392415DF"/>
    <w:rsid w:val="394F5414"/>
    <w:rsid w:val="3B906D5D"/>
    <w:rsid w:val="41051E86"/>
    <w:rsid w:val="41FA2FE5"/>
    <w:rsid w:val="45A76E45"/>
    <w:rsid w:val="471E09A0"/>
    <w:rsid w:val="48130A56"/>
    <w:rsid w:val="4CDA27CD"/>
    <w:rsid w:val="4D0B3DAF"/>
    <w:rsid w:val="4DF434B3"/>
    <w:rsid w:val="4E280143"/>
    <w:rsid w:val="4ECE7F12"/>
    <w:rsid w:val="50F91875"/>
    <w:rsid w:val="516F4F05"/>
    <w:rsid w:val="517F1F78"/>
    <w:rsid w:val="530C45E3"/>
    <w:rsid w:val="53BF77FF"/>
    <w:rsid w:val="560003DB"/>
    <w:rsid w:val="571A280E"/>
    <w:rsid w:val="58427DAB"/>
    <w:rsid w:val="584D697A"/>
    <w:rsid w:val="58F710E2"/>
    <w:rsid w:val="5CC57D45"/>
    <w:rsid w:val="5D0921AF"/>
    <w:rsid w:val="5F737F76"/>
    <w:rsid w:val="639434C9"/>
    <w:rsid w:val="63AE0487"/>
    <w:rsid w:val="65FA176C"/>
    <w:rsid w:val="66BE67A1"/>
    <w:rsid w:val="67EF4774"/>
    <w:rsid w:val="6B715F99"/>
    <w:rsid w:val="6F9D546A"/>
    <w:rsid w:val="70A8391E"/>
    <w:rsid w:val="70F0045C"/>
    <w:rsid w:val="716910FE"/>
    <w:rsid w:val="71A41140"/>
    <w:rsid w:val="71DD6126"/>
    <w:rsid w:val="71FE22B3"/>
    <w:rsid w:val="732F0686"/>
    <w:rsid w:val="75400A51"/>
    <w:rsid w:val="77604F84"/>
    <w:rsid w:val="781A3495"/>
    <w:rsid w:val="78D37723"/>
    <w:rsid w:val="79AD2DF5"/>
    <w:rsid w:val="7B04153B"/>
    <w:rsid w:val="7B2A27C6"/>
    <w:rsid w:val="7B61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36"/>
    <w:qFormat/>
    <w:uiPriority w:val="0"/>
    <w:pPr>
      <w:keepNext/>
      <w:keepLines/>
      <w:spacing w:line="360" w:lineRule="auto"/>
      <w:jc w:val="center"/>
      <w:outlineLvl w:val="0"/>
    </w:pPr>
    <w:rPr>
      <w:b/>
      <w:bCs/>
      <w:kern w:val="44"/>
      <w:sz w:val="44"/>
      <w:szCs w:val="44"/>
    </w:rPr>
  </w:style>
  <w:style w:type="paragraph" w:styleId="2">
    <w:name w:val="heading 2"/>
    <w:basedOn w:val="1"/>
    <w:next w:val="1"/>
    <w:link w:val="46"/>
    <w:qFormat/>
    <w:uiPriority w:val="0"/>
    <w:pPr>
      <w:keepNext/>
      <w:keepLines/>
      <w:widowControl w:val="0"/>
      <w:spacing w:before="20" w:after="20" w:line="360" w:lineRule="auto"/>
      <w:outlineLvl w:val="1"/>
    </w:pPr>
    <w:rPr>
      <w:rFonts w:ascii="Arial" w:hAnsi="Arial"/>
      <w:b/>
      <w:bCs/>
      <w:kern w:val="2"/>
      <w:sz w:val="36"/>
      <w:szCs w:val="32"/>
    </w:rPr>
  </w:style>
  <w:style w:type="paragraph" w:styleId="4">
    <w:name w:val="heading 3"/>
    <w:basedOn w:val="1"/>
    <w:next w:val="5"/>
    <w:link w:val="38"/>
    <w:qFormat/>
    <w:uiPriority w:val="0"/>
    <w:pPr>
      <w:keepNext/>
      <w:keepLines/>
      <w:widowControl w:val="0"/>
      <w:tabs>
        <w:tab w:val="left" w:pos="2126"/>
      </w:tabs>
      <w:spacing w:before="20" w:after="20" w:line="415" w:lineRule="auto"/>
      <w:ind w:left="1701"/>
      <w:outlineLvl w:val="2"/>
    </w:pPr>
    <w:rPr>
      <w:b/>
      <w:color w:val="0000FF"/>
      <w:kern w:val="2"/>
      <w:sz w:val="32"/>
      <w:szCs w:val="20"/>
    </w:rPr>
  </w:style>
  <w:style w:type="paragraph" w:styleId="6">
    <w:name w:val="heading 4"/>
    <w:basedOn w:val="1"/>
    <w:next w:val="1"/>
    <w:link w:val="39"/>
    <w:qFormat/>
    <w:uiPriority w:val="0"/>
    <w:pPr>
      <w:keepNext/>
      <w:keepLines/>
      <w:widowControl w:val="0"/>
      <w:tabs>
        <w:tab w:val="left" w:pos="2976"/>
      </w:tabs>
      <w:spacing w:before="280" w:after="290" w:line="374" w:lineRule="auto"/>
      <w:ind w:left="2551"/>
      <w:jc w:val="both"/>
      <w:outlineLvl w:val="3"/>
    </w:pPr>
    <w:rPr>
      <w:rFonts w:ascii="Arial" w:hAnsi="Arial" w:eastAsia="黑体"/>
      <w:b/>
      <w:color w:val="0000FF"/>
      <w:kern w:val="2"/>
      <w:sz w:val="28"/>
      <w:szCs w:val="20"/>
    </w:rPr>
  </w:style>
  <w:style w:type="paragraph" w:styleId="7">
    <w:name w:val="heading 5"/>
    <w:basedOn w:val="1"/>
    <w:next w:val="5"/>
    <w:link w:val="40"/>
    <w:qFormat/>
    <w:uiPriority w:val="0"/>
    <w:pPr>
      <w:keepNext/>
      <w:keepLines/>
      <w:widowControl w:val="0"/>
      <w:tabs>
        <w:tab w:val="left" w:pos="3827"/>
      </w:tabs>
      <w:spacing w:before="280" w:after="290" w:line="374" w:lineRule="auto"/>
      <w:ind w:left="3402"/>
      <w:jc w:val="both"/>
      <w:outlineLvl w:val="4"/>
    </w:pPr>
    <w:rPr>
      <w:b/>
      <w:color w:val="0000FF"/>
      <w:kern w:val="2"/>
      <w:sz w:val="28"/>
      <w:szCs w:val="20"/>
    </w:rPr>
  </w:style>
  <w:style w:type="paragraph" w:styleId="8">
    <w:name w:val="heading 6"/>
    <w:basedOn w:val="1"/>
    <w:next w:val="5"/>
    <w:link w:val="41"/>
    <w:qFormat/>
    <w:uiPriority w:val="0"/>
    <w:pPr>
      <w:keepNext/>
      <w:keepLines/>
      <w:widowControl w:val="0"/>
      <w:tabs>
        <w:tab w:val="left" w:pos="4677"/>
      </w:tabs>
      <w:spacing w:before="240" w:after="64" w:line="319" w:lineRule="auto"/>
      <w:ind w:left="4252"/>
      <w:jc w:val="both"/>
      <w:outlineLvl w:val="5"/>
    </w:pPr>
    <w:rPr>
      <w:rFonts w:ascii="Arial" w:hAnsi="Arial" w:eastAsia="黑体"/>
      <w:b/>
      <w:color w:val="0000FF"/>
      <w:kern w:val="2"/>
      <w:szCs w:val="20"/>
    </w:rPr>
  </w:style>
  <w:style w:type="paragraph" w:styleId="9">
    <w:name w:val="heading 7"/>
    <w:basedOn w:val="1"/>
    <w:next w:val="5"/>
    <w:link w:val="42"/>
    <w:qFormat/>
    <w:uiPriority w:val="0"/>
    <w:pPr>
      <w:keepNext/>
      <w:keepLines/>
      <w:widowControl w:val="0"/>
      <w:tabs>
        <w:tab w:val="left" w:pos="5528"/>
      </w:tabs>
      <w:spacing w:before="240" w:after="64" w:line="319" w:lineRule="auto"/>
      <w:ind w:left="5102"/>
      <w:jc w:val="both"/>
      <w:outlineLvl w:val="6"/>
    </w:pPr>
    <w:rPr>
      <w:b/>
      <w:color w:val="0000FF"/>
      <w:kern w:val="2"/>
      <w:szCs w:val="20"/>
    </w:rPr>
  </w:style>
  <w:style w:type="paragraph" w:styleId="10">
    <w:name w:val="heading 8"/>
    <w:basedOn w:val="1"/>
    <w:next w:val="5"/>
    <w:link w:val="43"/>
    <w:qFormat/>
    <w:uiPriority w:val="0"/>
    <w:pPr>
      <w:keepNext/>
      <w:keepLines/>
      <w:widowControl w:val="0"/>
      <w:tabs>
        <w:tab w:val="left" w:pos="6378"/>
      </w:tabs>
      <w:spacing w:before="240" w:after="64" w:line="319" w:lineRule="auto"/>
      <w:ind w:left="5953"/>
      <w:jc w:val="both"/>
      <w:outlineLvl w:val="7"/>
    </w:pPr>
    <w:rPr>
      <w:rFonts w:ascii="Arial" w:hAnsi="Arial" w:eastAsia="黑体"/>
      <w:color w:val="0000FF"/>
      <w:kern w:val="2"/>
      <w:szCs w:val="20"/>
    </w:rPr>
  </w:style>
  <w:style w:type="paragraph" w:styleId="11">
    <w:name w:val="heading 9"/>
    <w:basedOn w:val="1"/>
    <w:next w:val="5"/>
    <w:link w:val="44"/>
    <w:qFormat/>
    <w:uiPriority w:val="0"/>
    <w:pPr>
      <w:keepNext/>
      <w:keepLines/>
      <w:widowControl w:val="0"/>
      <w:tabs>
        <w:tab w:val="left" w:pos="7228"/>
      </w:tabs>
      <w:spacing w:before="240" w:after="64" w:line="319" w:lineRule="auto"/>
      <w:ind w:left="6803"/>
      <w:jc w:val="both"/>
      <w:outlineLvl w:val="8"/>
    </w:pPr>
    <w:rPr>
      <w:rFonts w:ascii="Arial" w:hAnsi="Arial" w:eastAsia="黑体"/>
      <w:color w:val="0000FF"/>
      <w:kern w:val="2"/>
      <w:sz w:val="21"/>
      <w:szCs w:val="20"/>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color w:val="0000FF"/>
      <w:kern w:val="2"/>
      <w:sz w:val="28"/>
      <w:szCs w:val="20"/>
    </w:rPr>
  </w:style>
  <w:style w:type="paragraph" w:styleId="12">
    <w:name w:val="Document Map"/>
    <w:basedOn w:val="1"/>
    <w:link w:val="45"/>
    <w:unhideWhenUsed/>
    <w:qFormat/>
    <w:uiPriority w:val="99"/>
    <w:rPr>
      <w:rFonts w:ascii="宋体" w:hAnsiTheme="minorHAnsi" w:eastAsiaTheme="minorEastAsia" w:cstheme="minorBidi"/>
      <w:kern w:val="2"/>
      <w:sz w:val="18"/>
      <w:szCs w:val="18"/>
    </w:rPr>
  </w:style>
  <w:style w:type="paragraph" w:styleId="13">
    <w:name w:val="annotation text"/>
    <w:basedOn w:val="1"/>
    <w:link w:val="47"/>
    <w:unhideWhenUsed/>
    <w:qFormat/>
    <w:uiPriority w:val="0"/>
  </w:style>
  <w:style w:type="paragraph" w:styleId="14">
    <w:name w:val="Body Text"/>
    <w:basedOn w:val="1"/>
    <w:link w:val="57"/>
    <w:qFormat/>
    <w:uiPriority w:val="0"/>
    <w:pPr>
      <w:widowControl w:val="0"/>
      <w:jc w:val="both"/>
    </w:pPr>
    <w:rPr>
      <w:color w:val="0000FF"/>
      <w:kern w:val="2"/>
      <w:sz w:val="28"/>
      <w:szCs w:val="20"/>
    </w:rPr>
  </w:style>
  <w:style w:type="paragraph" w:styleId="15">
    <w:name w:val="Body Text Indent"/>
    <w:basedOn w:val="1"/>
    <w:link w:val="55"/>
    <w:qFormat/>
    <w:uiPriority w:val="0"/>
    <w:pPr>
      <w:widowControl w:val="0"/>
      <w:ind w:left="840"/>
      <w:jc w:val="both"/>
    </w:pPr>
    <w:rPr>
      <w:rFonts w:ascii="宋体"/>
      <w:color w:val="0000FF"/>
      <w:kern w:val="2"/>
      <w:sz w:val="28"/>
      <w:szCs w:val="20"/>
    </w:rPr>
  </w:style>
  <w:style w:type="paragraph" w:styleId="16">
    <w:name w:val="Plain Text"/>
    <w:basedOn w:val="1"/>
    <w:link w:val="51"/>
    <w:qFormat/>
    <w:uiPriority w:val="0"/>
    <w:pPr>
      <w:widowControl w:val="0"/>
      <w:jc w:val="both"/>
    </w:pPr>
    <w:rPr>
      <w:kern w:val="2"/>
      <w:szCs w:val="20"/>
    </w:rPr>
  </w:style>
  <w:style w:type="paragraph" w:styleId="17">
    <w:name w:val="Date"/>
    <w:basedOn w:val="1"/>
    <w:next w:val="1"/>
    <w:link w:val="54"/>
    <w:qFormat/>
    <w:uiPriority w:val="0"/>
    <w:pPr>
      <w:widowControl w:val="0"/>
      <w:jc w:val="both"/>
    </w:pPr>
    <w:rPr>
      <w:color w:val="0000FF"/>
      <w:kern w:val="2"/>
      <w:sz w:val="28"/>
      <w:szCs w:val="20"/>
    </w:rPr>
  </w:style>
  <w:style w:type="paragraph" w:styleId="18">
    <w:name w:val="Body Text Indent 2"/>
    <w:basedOn w:val="1"/>
    <w:link w:val="53"/>
    <w:qFormat/>
    <w:uiPriority w:val="0"/>
    <w:pPr>
      <w:spacing w:line="360" w:lineRule="atLeast"/>
      <w:ind w:firstLine="480" w:firstLineChars="200"/>
      <w:outlineLvl w:val="0"/>
    </w:pPr>
    <w:rPr>
      <w:rFonts w:ascii="宋体" w:hAnsi="宋体"/>
      <w:color w:val="000000"/>
    </w:rPr>
  </w:style>
  <w:style w:type="paragraph" w:styleId="19">
    <w:name w:val="Balloon Text"/>
    <w:basedOn w:val="1"/>
    <w:link w:val="50"/>
    <w:qFormat/>
    <w:uiPriority w:val="0"/>
    <w:rPr>
      <w:sz w:val="18"/>
      <w:szCs w:val="18"/>
    </w:rPr>
  </w:style>
  <w:style w:type="paragraph" w:styleId="20">
    <w:name w:val="footer"/>
    <w:basedOn w:val="1"/>
    <w:link w:val="35"/>
    <w:unhideWhenUsed/>
    <w:qFormat/>
    <w:uiPriority w:val="99"/>
    <w:pPr>
      <w:tabs>
        <w:tab w:val="center" w:pos="4153"/>
        <w:tab w:val="right" w:pos="8306"/>
      </w:tabs>
      <w:snapToGrid w:val="0"/>
    </w:pPr>
    <w:rPr>
      <w:sz w:val="18"/>
      <w:szCs w:val="18"/>
    </w:rPr>
  </w:style>
  <w:style w:type="paragraph" w:styleId="21">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Body Text Indent 3"/>
    <w:basedOn w:val="1"/>
    <w:link w:val="49"/>
    <w:qFormat/>
    <w:uiPriority w:val="0"/>
    <w:pPr>
      <w:ind w:firstLine="476" w:firstLineChars="200"/>
    </w:pPr>
    <w:rPr>
      <w:rFonts w:ascii="宋体" w:hAnsi="宋体"/>
      <w:bCs/>
      <w:color w:val="000000"/>
      <w:spacing w:val="-2"/>
    </w:rPr>
  </w:style>
  <w:style w:type="paragraph" w:styleId="24">
    <w:name w:val="toc 2"/>
    <w:basedOn w:val="1"/>
    <w:next w:val="1"/>
    <w:unhideWhenUsed/>
    <w:qFormat/>
    <w:uiPriority w:val="39"/>
    <w:pPr>
      <w:tabs>
        <w:tab w:val="right" w:leader="dot" w:pos="9628"/>
      </w:tabs>
      <w:spacing w:line="480" w:lineRule="auto"/>
      <w:jc w:val="both"/>
    </w:pPr>
    <w:rPr>
      <w:rFonts w:asciiTheme="minorEastAsia" w:hAnsiTheme="minorEastAsia" w:eastAsiaTheme="minorEastAsia"/>
      <w:b/>
    </w:rPr>
  </w:style>
  <w:style w:type="paragraph" w:styleId="25">
    <w:name w:val="HTML Preformatted"/>
    <w:basedOn w:val="1"/>
    <w:link w:val="5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26">
    <w:name w:val="Normal (Web)"/>
    <w:basedOn w:val="1"/>
    <w:qFormat/>
    <w:uiPriority w:val="99"/>
    <w:pPr>
      <w:spacing w:before="100" w:beforeAutospacing="1" w:after="100" w:afterAutospacing="1"/>
    </w:pPr>
    <w:rPr>
      <w:rFonts w:ascii="宋体" w:hAnsi="宋体" w:cs="宋体"/>
    </w:rPr>
  </w:style>
  <w:style w:type="paragraph" w:styleId="27">
    <w:name w:val="annotation subject"/>
    <w:basedOn w:val="13"/>
    <w:next w:val="13"/>
    <w:link w:val="48"/>
    <w:qFormat/>
    <w:uiPriority w:val="0"/>
    <w:rPr>
      <w:b/>
      <w:bCs/>
    </w:rPr>
  </w:style>
  <w:style w:type="character" w:styleId="30">
    <w:name w:val="page number"/>
    <w:basedOn w:val="29"/>
    <w:qFormat/>
    <w:uiPriority w:val="0"/>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页眉 Char"/>
    <w:basedOn w:val="29"/>
    <w:link w:val="21"/>
    <w:semiHidden/>
    <w:qFormat/>
    <w:uiPriority w:val="99"/>
    <w:rPr>
      <w:sz w:val="18"/>
      <w:szCs w:val="18"/>
    </w:rPr>
  </w:style>
  <w:style w:type="character" w:customStyle="1" w:styleId="35">
    <w:name w:val="页脚 Char"/>
    <w:basedOn w:val="29"/>
    <w:link w:val="20"/>
    <w:qFormat/>
    <w:uiPriority w:val="99"/>
    <w:rPr>
      <w:sz w:val="18"/>
      <w:szCs w:val="18"/>
    </w:rPr>
  </w:style>
  <w:style w:type="character" w:customStyle="1" w:styleId="36">
    <w:name w:val="标题 1 Char"/>
    <w:basedOn w:val="29"/>
    <w:link w:val="3"/>
    <w:qFormat/>
    <w:uiPriority w:val="0"/>
    <w:rPr>
      <w:rFonts w:ascii="Times New Roman" w:hAnsi="Times New Roman" w:eastAsia="宋体" w:cs="Times New Roman"/>
      <w:b/>
      <w:bCs/>
      <w:kern w:val="44"/>
      <w:sz w:val="44"/>
      <w:szCs w:val="44"/>
    </w:rPr>
  </w:style>
  <w:style w:type="character" w:customStyle="1" w:styleId="37">
    <w:name w:val="标题 2 Char"/>
    <w:basedOn w:val="29"/>
    <w:semiHidden/>
    <w:qFormat/>
    <w:uiPriority w:val="9"/>
    <w:rPr>
      <w:rFonts w:asciiTheme="majorHAnsi" w:hAnsiTheme="majorHAnsi" w:eastAsiaTheme="majorEastAsia" w:cstheme="majorBidi"/>
      <w:b/>
      <w:bCs/>
      <w:kern w:val="0"/>
      <w:sz w:val="32"/>
      <w:szCs w:val="32"/>
    </w:rPr>
  </w:style>
  <w:style w:type="character" w:customStyle="1" w:styleId="38">
    <w:name w:val="标题 3 Char"/>
    <w:basedOn w:val="29"/>
    <w:link w:val="4"/>
    <w:qFormat/>
    <w:uiPriority w:val="0"/>
    <w:rPr>
      <w:rFonts w:ascii="Times New Roman" w:hAnsi="Times New Roman" w:eastAsia="宋体" w:cs="Times New Roman"/>
      <w:b/>
      <w:color w:val="0000FF"/>
      <w:sz w:val="32"/>
      <w:szCs w:val="20"/>
    </w:rPr>
  </w:style>
  <w:style w:type="character" w:customStyle="1" w:styleId="39">
    <w:name w:val="标题 4 Char"/>
    <w:basedOn w:val="29"/>
    <w:link w:val="6"/>
    <w:qFormat/>
    <w:uiPriority w:val="0"/>
    <w:rPr>
      <w:rFonts w:ascii="Arial" w:hAnsi="Arial" w:eastAsia="黑体" w:cs="Times New Roman"/>
      <w:b/>
      <w:color w:val="0000FF"/>
      <w:sz w:val="28"/>
      <w:szCs w:val="20"/>
    </w:rPr>
  </w:style>
  <w:style w:type="character" w:customStyle="1" w:styleId="40">
    <w:name w:val="标题 5 Char"/>
    <w:basedOn w:val="29"/>
    <w:link w:val="7"/>
    <w:qFormat/>
    <w:uiPriority w:val="0"/>
    <w:rPr>
      <w:rFonts w:ascii="Times New Roman" w:hAnsi="Times New Roman" w:eastAsia="宋体" w:cs="Times New Roman"/>
      <w:b/>
      <w:color w:val="0000FF"/>
      <w:sz w:val="28"/>
      <w:szCs w:val="20"/>
    </w:rPr>
  </w:style>
  <w:style w:type="character" w:customStyle="1" w:styleId="41">
    <w:name w:val="标题 6 Char"/>
    <w:basedOn w:val="29"/>
    <w:link w:val="8"/>
    <w:qFormat/>
    <w:uiPriority w:val="0"/>
    <w:rPr>
      <w:rFonts w:ascii="Arial" w:hAnsi="Arial" w:eastAsia="黑体" w:cs="Times New Roman"/>
      <w:b/>
      <w:color w:val="0000FF"/>
      <w:sz w:val="24"/>
      <w:szCs w:val="20"/>
    </w:rPr>
  </w:style>
  <w:style w:type="character" w:customStyle="1" w:styleId="42">
    <w:name w:val="标题 7 Char"/>
    <w:basedOn w:val="29"/>
    <w:link w:val="9"/>
    <w:qFormat/>
    <w:uiPriority w:val="0"/>
    <w:rPr>
      <w:rFonts w:ascii="Times New Roman" w:hAnsi="Times New Roman" w:eastAsia="宋体" w:cs="Times New Roman"/>
      <w:b/>
      <w:color w:val="0000FF"/>
      <w:sz w:val="24"/>
      <w:szCs w:val="20"/>
    </w:rPr>
  </w:style>
  <w:style w:type="character" w:customStyle="1" w:styleId="43">
    <w:name w:val="标题 8 Char"/>
    <w:basedOn w:val="29"/>
    <w:link w:val="10"/>
    <w:qFormat/>
    <w:uiPriority w:val="0"/>
    <w:rPr>
      <w:rFonts w:ascii="Arial" w:hAnsi="Arial" w:eastAsia="黑体" w:cs="Times New Roman"/>
      <w:color w:val="0000FF"/>
      <w:sz w:val="24"/>
      <w:szCs w:val="20"/>
    </w:rPr>
  </w:style>
  <w:style w:type="character" w:customStyle="1" w:styleId="44">
    <w:name w:val="标题 9 Char"/>
    <w:basedOn w:val="29"/>
    <w:link w:val="11"/>
    <w:qFormat/>
    <w:uiPriority w:val="0"/>
    <w:rPr>
      <w:rFonts w:ascii="Arial" w:hAnsi="Arial" w:eastAsia="黑体" w:cs="Times New Roman"/>
      <w:color w:val="0000FF"/>
      <w:szCs w:val="20"/>
    </w:rPr>
  </w:style>
  <w:style w:type="character" w:customStyle="1" w:styleId="45">
    <w:name w:val="文档结构图 Char1"/>
    <w:link w:val="12"/>
    <w:qFormat/>
    <w:uiPriority w:val="99"/>
    <w:rPr>
      <w:rFonts w:ascii="宋体"/>
      <w:sz w:val="18"/>
      <w:szCs w:val="18"/>
    </w:rPr>
  </w:style>
  <w:style w:type="character" w:customStyle="1" w:styleId="46">
    <w:name w:val="标题 2 Char1"/>
    <w:link w:val="2"/>
    <w:qFormat/>
    <w:uiPriority w:val="0"/>
    <w:rPr>
      <w:rFonts w:ascii="Arial" w:hAnsi="Arial" w:eastAsia="宋体" w:cs="Times New Roman"/>
      <w:b/>
      <w:bCs/>
      <w:sz w:val="36"/>
      <w:szCs w:val="32"/>
    </w:rPr>
  </w:style>
  <w:style w:type="character" w:customStyle="1" w:styleId="47">
    <w:name w:val="批注文字 Char"/>
    <w:basedOn w:val="29"/>
    <w:link w:val="13"/>
    <w:qFormat/>
    <w:uiPriority w:val="0"/>
    <w:rPr>
      <w:rFonts w:ascii="Times New Roman" w:hAnsi="Times New Roman" w:eastAsia="宋体" w:cs="Times New Roman"/>
      <w:kern w:val="0"/>
      <w:sz w:val="24"/>
      <w:szCs w:val="24"/>
    </w:rPr>
  </w:style>
  <w:style w:type="character" w:customStyle="1" w:styleId="48">
    <w:name w:val="批注主题 Char"/>
    <w:basedOn w:val="47"/>
    <w:link w:val="27"/>
    <w:qFormat/>
    <w:uiPriority w:val="0"/>
    <w:rPr>
      <w:rFonts w:ascii="Times New Roman" w:hAnsi="Times New Roman" w:eastAsia="宋体" w:cs="Times New Roman"/>
      <w:b/>
      <w:bCs/>
      <w:kern w:val="0"/>
      <w:sz w:val="24"/>
      <w:szCs w:val="24"/>
    </w:rPr>
  </w:style>
  <w:style w:type="character" w:customStyle="1" w:styleId="49">
    <w:name w:val="正文文本缩进 3 Char"/>
    <w:basedOn w:val="29"/>
    <w:link w:val="23"/>
    <w:qFormat/>
    <w:uiPriority w:val="0"/>
    <w:rPr>
      <w:rFonts w:ascii="宋体" w:hAnsi="宋体" w:eastAsia="宋体" w:cs="Times New Roman"/>
      <w:bCs/>
      <w:color w:val="000000"/>
      <w:spacing w:val="-2"/>
      <w:kern w:val="0"/>
      <w:sz w:val="24"/>
      <w:szCs w:val="24"/>
    </w:rPr>
  </w:style>
  <w:style w:type="character" w:customStyle="1" w:styleId="50">
    <w:name w:val="批注框文本 Char"/>
    <w:basedOn w:val="29"/>
    <w:link w:val="19"/>
    <w:qFormat/>
    <w:uiPriority w:val="0"/>
    <w:rPr>
      <w:rFonts w:ascii="Times New Roman" w:hAnsi="Times New Roman" w:eastAsia="宋体" w:cs="Times New Roman"/>
      <w:kern w:val="0"/>
      <w:sz w:val="18"/>
      <w:szCs w:val="18"/>
    </w:rPr>
  </w:style>
  <w:style w:type="character" w:customStyle="1" w:styleId="51">
    <w:name w:val="纯文本 Char"/>
    <w:basedOn w:val="29"/>
    <w:link w:val="16"/>
    <w:qFormat/>
    <w:uiPriority w:val="0"/>
    <w:rPr>
      <w:rFonts w:ascii="Times New Roman" w:hAnsi="Times New Roman" w:eastAsia="宋体" w:cs="Times New Roman"/>
      <w:sz w:val="24"/>
      <w:szCs w:val="20"/>
    </w:rPr>
  </w:style>
  <w:style w:type="paragraph" w:customStyle="1" w:styleId="52">
    <w:name w:val="_Style 40"/>
    <w:basedOn w:val="1"/>
    <w:next w:val="1"/>
    <w:qFormat/>
    <w:uiPriority w:val="39"/>
    <w:pPr>
      <w:tabs>
        <w:tab w:val="right" w:leader="dot" w:pos="9289"/>
      </w:tabs>
      <w:spacing w:line="600" w:lineRule="auto"/>
      <w:ind w:left="480" w:leftChars="200"/>
    </w:pPr>
    <w:rPr>
      <w:b/>
      <w:sz w:val="28"/>
    </w:rPr>
  </w:style>
  <w:style w:type="character" w:customStyle="1" w:styleId="53">
    <w:name w:val="正文文本缩进 2 Char"/>
    <w:basedOn w:val="29"/>
    <w:link w:val="18"/>
    <w:qFormat/>
    <w:uiPriority w:val="0"/>
    <w:rPr>
      <w:rFonts w:ascii="宋体" w:hAnsi="宋体" w:eastAsia="宋体" w:cs="Times New Roman"/>
      <w:color w:val="000000"/>
      <w:kern w:val="0"/>
      <w:sz w:val="24"/>
      <w:szCs w:val="24"/>
    </w:rPr>
  </w:style>
  <w:style w:type="character" w:customStyle="1" w:styleId="54">
    <w:name w:val="日期 Char"/>
    <w:basedOn w:val="29"/>
    <w:link w:val="17"/>
    <w:qFormat/>
    <w:uiPriority w:val="0"/>
    <w:rPr>
      <w:rFonts w:ascii="Times New Roman" w:hAnsi="Times New Roman" w:eastAsia="宋体" w:cs="Times New Roman"/>
      <w:color w:val="0000FF"/>
      <w:sz w:val="28"/>
      <w:szCs w:val="20"/>
    </w:rPr>
  </w:style>
  <w:style w:type="character" w:customStyle="1" w:styleId="55">
    <w:name w:val="正文文本缩进 Char"/>
    <w:basedOn w:val="29"/>
    <w:link w:val="15"/>
    <w:qFormat/>
    <w:uiPriority w:val="0"/>
    <w:rPr>
      <w:rFonts w:ascii="宋体" w:hAnsi="Times New Roman" w:eastAsia="宋体" w:cs="Times New Roman"/>
      <w:color w:val="0000FF"/>
      <w:sz w:val="28"/>
      <w:szCs w:val="20"/>
    </w:rPr>
  </w:style>
  <w:style w:type="character" w:customStyle="1" w:styleId="56">
    <w:name w:val="HTML 预设格式 Char"/>
    <w:basedOn w:val="29"/>
    <w:link w:val="25"/>
    <w:qFormat/>
    <w:uiPriority w:val="0"/>
    <w:rPr>
      <w:rFonts w:ascii="Arial" w:hAnsi="Arial" w:eastAsia="宋体" w:cs="Arial"/>
      <w:kern w:val="0"/>
      <w:sz w:val="24"/>
      <w:szCs w:val="24"/>
    </w:rPr>
  </w:style>
  <w:style w:type="character" w:customStyle="1" w:styleId="57">
    <w:name w:val="正文文本 Char"/>
    <w:basedOn w:val="29"/>
    <w:link w:val="14"/>
    <w:qFormat/>
    <w:uiPriority w:val="0"/>
    <w:rPr>
      <w:rFonts w:ascii="Times New Roman" w:hAnsi="Times New Roman" w:eastAsia="宋体" w:cs="Times New Roman"/>
      <w:color w:val="0000FF"/>
      <w:sz w:val="28"/>
      <w:szCs w:val="20"/>
    </w:rPr>
  </w:style>
  <w:style w:type="character" w:customStyle="1" w:styleId="58">
    <w:name w:val="文档结构图 Char"/>
    <w:basedOn w:val="29"/>
    <w:semiHidden/>
    <w:qFormat/>
    <w:uiPriority w:val="99"/>
    <w:rPr>
      <w:rFonts w:ascii="宋体" w:hAnsi="Times New Roman" w:eastAsia="宋体" w:cs="Times New Roman"/>
      <w:kern w:val="0"/>
      <w:sz w:val="18"/>
      <w:szCs w:val="18"/>
    </w:rPr>
  </w:style>
  <w:style w:type="paragraph" w:customStyle="1" w:styleId="59">
    <w:name w:val="Char1"/>
    <w:basedOn w:val="12"/>
    <w:qFormat/>
    <w:uiPriority w:val="0"/>
    <w:pPr>
      <w:widowControl w:val="0"/>
      <w:shd w:val="clear" w:color="auto" w:fill="000080"/>
      <w:jc w:val="both"/>
    </w:pPr>
    <w:rPr>
      <w:rFonts w:ascii="Tahoma" w:hAnsi="Tahoma"/>
      <w:sz w:val="24"/>
      <w:szCs w:val="24"/>
    </w:rPr>
  </w:style>
  <w:style w:type="paragraph" w:customStyle="1" w:styleId="60">
    <w:name w:val="Char"/>
    <w:basedOn w:val="1"/>
    <w:qFormat/>
    <w:uiPriority w:val="0"/>
    <w:pPr>
      <w:spacing w:after="160" w:line="240" w:lineRule="exact"/>
    </w:pPr>
    <w:rPr>
      <w:rFonts w:ascii="Verdana" w:hAnsi="Verdana" w:eastAsia="楷体_GB2312"/>
      <w:b/>
      <w:i/>
      <w:iCs/>
      <w:color w:val="000000"/>
      <w:sz w:val="20"/>
      <w:szCs w:val="20"/>
      <w:lang w:eastAsia="en-US"/>
    </w:rPr>
  </w:style>
  <w:style w:type="paragraph" w:customStyle="1" w:styleId="61">
    <w:name w:val="Char2"/>
    <w:basedOn w:val="1"/>
    <w:qFormat/>
    <w:uiPriority w:val="0"/>
    <w:pPr>
      <w:spacing w:after="160" w:line="240" w:lineRule="exact"/>
    </w:pPr>
    <w:rPr>
      <w:rFonts w:ascii="Verdana" w:hAnsi="Verdana" w:eastAsia="楷体_GB2312"/>
      <w:b/>
      <w:i/>
      <w:iCs/>
      <w:color w:val="000000"/>
      <w:sz w:val="20"/>
      <w:szCs w:val="20"/>
      <w:lang w:eastAsia="en-US"/>
    </w:rPr>
  </w:style>
  <w:style w:type="character" w:customStyle="1" w:styleId="62">
    <w:name w:val="op-map-singlepoint-info-right1"/>
    <w:qFormat/>
    <w:uiPriority w:val="0"/>
  </w:style>
  <w:style w:type="paragraph" w:customStyle="1" w:styleId="63">
    <w:name w:val="列出段落1"/>
    <w:basedOn w:val="1"/>
    <w:qFormat/>
    <w:uiPriority w:val="0"/>
    <w:pPr>
      <w:ind w:firstLine="420" w:firstLineChars="200"/>
    </w:pPr>
  </w:style>
  <w:style w:type="paragraph" w:customStyle="1" w:styleId="64">
    <w:name w:val="Char Char Char Char1 Char Char"/>
    <w:basedOn w:val="1"/>
    <w:qFormat/>
    <w:uiPriority w:val="0"/>
    <w:pPr>
      <w:spacing w:after="160" w:line="240" w:lineRule="exact"/>
    </w:pPr>
    <w:rPr>
      <w:rFonts w:ascii="Verdana" w:hAnsi="Verdana"/>
      <w:sz w:val="21"/>
      <w:szCs w:val="20"/>
      <w:lang w:eastAsia="en-US"/>
    </w:rPr>
  </w:style>
  <w:style w:type="paragraph" w:customStyle="1" w:styleId="65">
    <w:name w:val="Char Char Char Char1 Char Char1"/>
    <w:basedOn w:val="1"/>
    <w:qFormat/>
    <w:uiPriority w:val="0"/>
    <w:pPr>
      <w:spacing w:after="160" w:line="240" w:lineRule="exact"/>
    </w:pPr>
    <w:rPr>
      <w:rFonts w:ascii="Verdana" w:hAnsi="Verdana"/>
      <w:sz w:val="21"/>
      <w:szCs w:val="20"/>
      <w:lang w:eastAsia="en-US"/>
    </w:rPr>
  </w:style>
  <w:style w:type="paragraph" w:customStyle="1" w:styleId="66">
    <w:name w:val="Char Char Char Char1 Char Char2"/>
    <w:basedOn w:val="1"/>
    <w:qFormat/>
    <w:uiPriority w:val="0"/>
    <w:pPr>
      <w:spacing w:after="160" w:line="240" w:lineRule="exact"/>
    </w:pPr>
    <w:rPr>
      <w:rFonts w:ascii="Verdana" w:hAnsi="Verdana"/>
      <w:sz w:val="21"/>
      <w:szCs w:val="20"/>
      <w:lang w:eastAsia="en-US"/>
    </w:rPr>
  </w:style>
  <w:style w:type="character" w:customStyle="1" w:styleId="67">
    <w:name w:val="fontviewclass1"/>
    <w:basedOn w:val="29"/>
    <w:qFormat/>
    <w:uiPriority w:val="0"/>
  </w:style>
  <w:style w:type="paragraph" w:customStyle="1" w:styleId="68">
    <w:name w:val="Char Char Char Char1 Char Char3"/>
    <w:basedOn w:val="1"/>
    <w:qFormat/>
    <w:uiPriority w:val="0"/>
    <w:pPr>
      <w:spacing w:after="160" w:line="240" w:lineRule="exact"/>
    </w:pPr>
    <w:rPr>
      <w:rFonts w:ascii="Verdana" w:hAnsi="Verdana"/>
      <w:sz w:val="21"/>
      <w:szCs w:val="20"/>
      <w:lang w:eastAsia="en-US"/>
    </w:rPr>
  </w:style>
  <w:style w:type="paragraph" w:customStyle="1" w:styleId="69">
    <w:name w:val="Char Char Char Char1 Char Char4"/>
    <w:basedOn w:val="1"/>
    <w:qFormat/>
    <w:uiPriority w:val="0"/>
    <w:pPr>
      <w:spacing w:after="160" w:line="240" w:lineRule="exact"/>
    </w:pPr>
    <w:rPr>
      <w:rFonts w:ascii="Verdana" w:hAnsi="Verdana"/>
      <w:sz w:val="21"/>
      <w:szCs w:val="20"/>
      <w:lang w:eastAsia="en-US"/>
    </w:rPr>
  </w:style>
  <w:style w:type="paragraph" w:customStyle="1" w:styleId="70">
    <w:name w:val="Char Char Char Char1 Char Char5"/>
    <w:basedOn w:val="1"/>
    <w:qFormat/>
    <w:uiPriority w:val="0"/>
    <w:pPr>
      <w:spacing w:after="160" w:line="240" w:lineRule="exact"/>
    </w:pPr>
    <w:rPr>
      <w:rFonts w:ascii="Verdana" w:hAnsi="Verdana"/>
      <w:sz w:val="21"/>
      <w:szCs w:val="20"/>
      <w:lang w:eastAsia="en-US"/>
    </w:rPr>
  </w:style>
  <w:style w:type="paragraph" w:customStyle="1" w:styleId="71">
    <w:name w:val="Char Char Char Char1 Char Char6"/>
    <w:basedOn w:val="1"/>
    <w:qFormat/>
    <w:uiPriority w:val="0"/>
    <w:pPr>
      <w:spacing w:after="160" w:line="240" w:lineRule="exact"/>
    </w:pPr>
    <w:rPr>
      <w:rFonts w:ascii="Verdana" w:hAnsi="Verdana"/>
      <w:sz w:val="21"/>
      <w:szCs w:val="20"/>
      <w:lang w:eastAsia="en-US"/>
    </w:rPr>
  </w:style>
  <w:style w:type="paragraph" w:customStyle="1" w:styleId="72">
    <w:name w:val="Char Char Char Char1 Char Char7"/>
    <w:basedOn w:val="1"/>
    <w:qFormat/>
    <w:uiPriority w:val="0"/>
    <w:pPr>
      <w:spacing w:after="160" w:line="240" w:lineRule="exact"/>
    </w:pPr>
    <w:rPr>
      <w:rFonts w:ascii="Verdana" w:hAnsi="Verdana"/>
      <w:sz w:val="21"/>
      <w:szCs w:val="20"/>
      <w:lang w:eastAsia="en-US"/>
    </w:rPr>
  </w:style>
  <w:style w:type="paragraph" w:customStyle="1" w:styleId="73">
    <w:name w:val="Char Char Char Char1 Char Char8"/>
    <w:basedOn w:val="1"/>
    <w:qFormat/>
    <w:uiPriority w:val="0"/>
    <w:pPr>
      <w:spacing w:after="160" w:line="240" w:lineRule="exact"/>
    </w:pPr>
    <w:rPr>
      <w:rFonts w:ascii="Verdana" w:hAnsi="Verdana"/>
      <w:sz w:val="21"/>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86002-37A6-41C0-B6E2-AFF36A13767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3405</Words>
  <Characters>19410</Characters>
  <Lines>161</Lines>
  <Paragraphs>45</Paragraphs>
  <TotalTime>4</TotalTime>
  <ScaleCrop>false</ScaleCrop>
  <LinksUpToDate>false</LinksUpToDate>
  <CharactersWithSpaces>22770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2021-09-03T04:10:00Z</dcterms:created>
  <dc:creator>User</dc:creator>
  <cp:lastModifiedBy>大雄家的叮当</cp:lastModifiedBy>
  <cp:lastPrinted>2021-10-20T08:21:00Z</cp:lastPrinted>
  <dcterms:modified xsi:type="dcterms:W3CDTF">2021-12-08T08:02:46Z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CC5C6B2E0E554F4A8EED6E17650115EB</vt:lpwstr>
  </property>
</Properties>
</file>