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drawing>
          <wp:anchor distT="0" distB="0" distL="114300" distR="114300" simplePos="0" relativeHeight="251665408" behindDoc="0" locked="0" layoutInCell="1" allowOverlap="1">
            <wp:simplePos x="0" y="0"/>
            <wp:positionH relativeFrom="column">
              <wp:posOffset>-386080</wp:posOffset>
            </wp:positionH>
            <wp:positionV relativeFrom="paragraph">
              <wp:posOffset>-398145</wp:posOffset>
            </wp:positionV>
            <wp:extent cx="2231390" cy="2231390"/>
            <wp:effectExtent l="0" t="0" r="0" b="0"/>
            <wp:wrapNone/>
            <wp:docPr id="10" name="图片 116" descr="方禾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6" descr="方禾LOGO"/>
                    <pic:cNvPicPr>
                      <a:picLocks noChangeAspect="1" noChangeArrowheads="1"/>
                    </pic:cNvPicPr>
                  </pic:nvPicPr>
                  <pic:blipFill>
                    <a:blip r:embed="rId16" cstate="print"/>
                    <a:srcRect/>
                    <a:stretch>
                      <a:fillRect/>
                    </a:stretch>
                  </pic:blipFill>
                  <pic:spPr>
                    <a:xfrm>
                      <a:off x="0" y="0"/>
                      <a:ext cx="2231572" cy="2231571"/>
                    </a:xfrm>
                    <a:prstGeom prst="rect">
                      <a:avLst/>
                    </a:prstGeom>
                    <a:noFill/>
                    <a:ln w="9525">
                      <a:noFill/>
                      <a:miter lim="800000"/>
                      <a:headEnd/>
                      <a:tailEnd/>
                    </a:ln>
                    <a:effectLst/>
                  </pic:spPr>
                </pic:pic>
              </a:graphicData>
            </a:graphic>
          </wp:anchor>
        </w:drawing>
      </w:r>
    </w:p>
    <w:p>
      <w:pPr>
        <w:snapToGrid w:val="0"/>
        <w:spacing w:before="156" w:beforeLines="50"/>
        <w:jc w:val="center"/>
        <w:rPr>
          <w:rFonts w:ascii="宋体" w:hAnsi="宋体" w:cs="宋体"/>
          <w:b/>
          <w:bCs/>
          <w:color w:val="auto"/>
          <w:sz w:val="72"/>
          <w:szCs w:val="72"/>
          <w:highlight w:val="none"/>
        </w:rPr>
      </w:pPr>
    </w:p>
    <w:p>
      <w:pPr>
        <w:snapToGrid w:val="0"/>
        <w:spacing w:before="156" w:beforeLines="50"/>
        <w:jc w:val="center"/>
        <w:rPr>
          <w:rFonts w:ascii="宋体" w:hAnsi="宋体" w:cs="宋体"/>
          <w:b/>
          <w:bCs/>
          <w:color w:val="auto"/>
          <w:sz w:val="72"/>
          <w:szCs w:val="72"/>
          <w:highlight w:val="none"/>
        </w:rPr>
      </w:pPr>
    </w:p>
    <w:p>
      <w:pPr>
        <w:snapToGrid w:val="0"/>
        <w:spacing w:before="156" w:beforeLines="50"/>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公开招标文件</w:t>
      </w:r>
    </w:p>
    <w:p>
      <w:pPr>
        <w:snapToGrid w:val="0"/>
        <w:spacing w:line="420" w:lineRule="auto"/>
        <w:jc w:val="center"/>
        <w:rPr>
          <w:rFonts w:ascii="宋体" w:hAnsi="宋体" w:cs="宋体"/>
          <w:color w:val="auto"/>
          <w:sz w:val="24"/>
          <w:szCs w:val="24"/>
          <w:highlight w:val="none"/>
        </w:rPr>
      </w:pPr>
    </w:p>
    <w:p>
      <w:pPr>
        <w:snapToGrid w:val="0"/>
        <w:spacing w:line="420" w:lineRule="auto"/>
        <w:jc w:val="center"/>
        <w:rPr>
          <w:rFonts w:ascii="宋体" w:hAnsi="宋体" w:cs="宋体"/>
          <w:color w:val="auto"/>
          <w:sz w:val="24"/>
          <w:szCs w:val="24"/>
          <w:highlight w:val="none"/>
        </w:rPr>
      </w:pPr>
    </w:p>
    <w:p>
      <w:pPr>
        <w:pStyle w:val="6"/>
        <w:spacing w:line="360" w:lineRule="auto"/>
        <w:ind w:firstLine="803" w:firstLineChars="250"/>
        <w:rPr>
          <w:rFonts w:ascii="宋体" w:hAnsi="宋体" w:cs="宋体"/>
          <w:b/>
          <w:color w:val="auto"/>
          <w:sz w:val="32"/>
          <w:highlight w:val="none"/>
        </w:rPr>
      </w:pPr>
    </w:p>
    <w:p>
      <w:pPr>
        <w:pStyle w:val="6"/>
        <w:spacing w:line="360" w:lineRule="auto"/>
        <w:ind w:firstLine="600" w:firstLineChars="166"/>
        <w:rPr>
          <w:rFonts w:ascii="宋体" w:hAnsi="宋体" w:cs="宋体"/>
          <w:b/>
          <w:color w:val="auto"/>
          <w:sz w:val="36"/>
          <w:szCs w:val="36"/>
          <w:highlight w:val="none"/>
          <w:lang w:val="zh-CN"/>
        </w:rPr>
      </w:pPr>
    </w:p>
    <w:p>
      <w:pPr>
        <w:pStyle w:val="6"/>
        <w:spacing w:line="360" w:lineRule="auto"/>
        <w:ind w:left="3003" w:leftChars="600" w:hanging="1803"/>
        <w:jc w:val="left"/>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t xml:space="preserve">项目编号：FH2022CG0113  </w:t>
      </w:r>
    </w:p>
    <w:p>
      <w:pPr>
        <w:pStyle w:val="6"/>
        <w:spacing w:line="360" w:lineRule="auto"/>
        <w:ind w:left="3003" w:leftChars="600" w:hanging="1803"/>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t>项目名称：中山市火炬科学技术学校小卖部承包经营项目</w:t>
      </w:r>
    </w:p>
    <w:p>
      <w:pPr>
        <w:snapToGrid w:val="0"/>
        <w:spacing w:line="420" w:lineRule="auto"/>
        <w:jc w:val="center"/>
        <w:rPr>
          <w:rFonts w:ascii="宋体" w:hAnsi="宋体" w:cs="宋体"/>
          <w:color w:val="auto"/>
          <w:sz w:val="24"/>
          <w:szCs w:val="24"/>
          <w:highlight w:val="none"/>
        </w:rPr>
      </w:pPr>
    </w:p>
    <w:p>
      <w:pPr>
        <w:snapToGrid w:val="0"/>
        <w:spacing w:line="420" w:lineRule="auto"/>
        <w:jc w:val="center"/>
        <w:rPr>
          <w:rFonts w:ascii="宋体" w:hAnsi="宋体" w:cs="宋体"/>
          <w:color w:val="auto"/>
          <w:sz w:val="24"/>
          <w:szCs w:val="24"/>
          <w:highlight w:val="none"/>
        </w:rPr>
      </w:pPr>
    </w:p>
    <w:p>
      <w:pPr>
        <w:snapToGrid w:val="0"/>
        <w:spacing w:line="420" w:lineRule="auto"/>
        <w:jc w:val="center"/>
        <w:rPr>
          <w:rFonts w:ascii="宋体" w:hAnsi="宋体" w:cs="宋体"/>
          <w:color w:val="auto"/>
          <w:sz w:val="24"/>
          <w:szCs w:val="24"/>
          <w:highlight w:val="none"/>
        </w:rPr>
      </w:pPr>
    </w:p>
    <w:p>
      <w:pPr>
        <w:snapToGrid w:val="0"/>
        <w:spacing w:line="420" w:lineRule="auto"/>
        <w:jc w:val="center"/>
        <w:rPr>
          <w:rFonts w:ascii="宋体" w:hAnsi="宋体" w:cs="宋体"/>
          <w:color w:val="auto"/>
          <w:sz w:val="24"/>
          <w:szCs w:val="24"/>
          <w:highlight w:val="none"/>
        </w:rPr>
      </w:pPr>
    </w:p>
    <w:p>
      <w:pPr>
        <w:spacing w:line="288" w:lineRule="auto"/>
        <w:ind w:left="1800" w:leftChars="900"/>
        <w:jc w:val="both"/>
        <w:rPr>
          <w:rFonts w:ascii="宋体" w:hAnsi="宋体" w:cs="宋体"/>
          <w:b/>
          <w:color w:val="auto"/>
          <w:sz w:val="36"/>
          <w:szCs w:val="36"/>
          <w:highlight w:val="none"/>
          <w:lang w:val="zh-CN"/>
        </w:rPr>
      </w:pPr>
      <w:r>
        <w:rPr>
          <w:rFonts w:hint="eastAsia" w:ascii="宋体" w:hAnsi="宋体" w:cs="宋体"/>
          <w:b/>
          <w:color w:val="auto"/>
          <w:sz w:val="36"/>
          <w:szCs w:val="36"/>
          <w:highlight w:val="none"/>
        </w:rPr>
        <w:t>招标人：</w:t>
      </w:r>
      <w:r>
        <w:rPr>
          <w:rFonts w:hint="eastAsia" w:ascii="宋体" w:hAnsi="宋体" w:cs="宋体"/>
          <w:b/>
          <w:color w:val="auto"/>
          <w:sz w:val="36"/>
          <w:szCs w:val="36"/>
          <w:highlight w:val="none"/>
          <w:lang w:val="zh-CN"/>
        </w:rPr>
        <w:t>中山市火炬科学技术学校</w:t>
      </w:r>
    </w:p>
    <w:p>
      <w:pPr>
        <w:pStyle w:val="9"/>
        <w:ind w:left="1800" w:leftChars="900"/>
        <w:rPr>
          <w:rFonts w:ascii="宋体" w:hAnsi="宋体" w:eastAsia="宋体" w:cs="宋体"/>
          <w:b/>
          <w:color w:val="auto"/>
          <w:kern w:val="0"/>
          <w:sz w:val="36"/>
          <w:szCs w:val="36"/>
          <w:highlight w:val="none"/>
          <w:lang w:val="zh-CN"/>
        </w:rPr>
      </w:pPr>
      <w:r>
        <w:rPr>
          <w:rFonts w:hint="eastAsia" w:ascii="宋体" w:hAnsi="宋体" w:eastAsia="宋体" w:cs="宋体"/>
          <w:b/>
          <w:color w:val="auto"/>
          <w:kern w:val="0"/>
          <w:sz w:val="36"/>
          <w:szCs w:val="36"/>
          <w:highlight w:val="none"/>
          <w:lang w:val="zh-CN"/>
        </w:rPr>
        <w:t>监督/主管单位：中山市教育和体育局</w:t>
      </w:r>
    </w:p>
    <w:p>
      <w:pPr>
        <w:spacing w:line="288" w:lineRule="auto"/>
        <w:ind w:left="1800" w:leftChars="900"/>
        <w:jc w:val="both"/>
        <w:rPr>
          <w:rFonts w:ascii="宋体" w:hAnsi="宋体" w:cs="宋体"/>
          <w:b/>
          <w:color w:val="auto"/>
          <w:sz w:val="36"/>
          <w:szCs w:val="36"/>
          <w:highlight w:val="none"/>
        </w:rPr>
      </w:pPr>
      <w:r>
        <w:rPr>
          <w:rFonts w:hint="eastAsia" w:ascii="宋体" w:hAnsi="宋体" w:cs="宋体"/>
          <w:b/>
          <w:color w:val="auto"/>
          <w:sz w:val="36"/>
          <w:szCs w:val="36"/>
          <w:highlight w:val="none"/>
        </w:rPr>
        <w:t>招标代理机构：方禾（广东）项目管理有限公司</w:t>
      </w:r>
    </w:p>
    <w:p>
      <w:pPr>
        <w:spacing w:line="288" w:lineRule="auto"/>
        <w:jc w:val="center"/>
        <w:rPr>
          <w:rFonts w:ascii="宋体" w:hAnsi="宋体" w:cs="宋体"/>
          <w:b/>
          <w:color w:val="auto"/>
          <w:sz w:val="36"/>
          <w:szCs w:val="36"/>
          <w:highlight w:val="none"/>
        </w:rPr>
      </w:pPr>
    </w:p>
    <w:p>
      <w:pPr>
        <w:spacing w:line="288"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二〇二二年一月</w:t>
      </w:r>
    </w:p>
    <w:p>
      <w:pPr>
        <w:snapToGrid w:val="0"/>
        <w:spacing w:before="156" w:beforeLines="50" w:after="156" w:afterLines="50" w:line="360" w:lineRule="auto"/>
        <w:jc w:val="center"/>
        <w:rPr>
          <w:rFonts w:ascii="宋体" w:hAnsi="宋体" w:cs="宋体"/>
          <w:b/>
          <w:color w:val="auto"/>
          <w:sz w:val="44"/>
          <w:szCs w:val="44"/>
          <w:highlight w:val="none"/>
        </w:rPr>
        <w:sectPr>
          <w:headerReference r:id="rId4" w:type="first"/>
          <w:headerReference r:id="rId3" w:type="default"/>
          <w:footerReference r:id="rId5" w:type="default"/>
          <w:type w:val="continuous"/>
          <w:pgSz w:w="11906" w:h="16838"/>
          <w:pgMar w:top="1134" w:right="1134" w:bottom="1134" w:left="1134" w:header="851" w:footer="725" w:gutter="0"/>
          <w:pgNumType w:start="0"/>
          <w:cols w:space="720" w:num="1"/>
          <w:titlePg/>
          <w:docGrid w:type="lines" w:linePitch="312" w:charSpace="0"/>
        </w:sectPr>
      </w:pPr>
    </w:p>
    <w:p>
      <w:pPr>
        <w:snapToGrid w:val="0"/>
        <w:spacing w:before="156" w:beforeLines="50" w:after="156" w:afterLines="50"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温馨提示！！！</w:t>
      </w:r>
    </w:p>
    <w:p>
      <w:pPr>
        <w:tabs>
          <w:tab w:val="left" w:pos="0"/>
        </w:tabs>
        <w:spacing w:before="156" w:beforeLines="50" w:after="156" w:afterLines="50"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（本提示内容非招标文件的组成部分，仅为善意提醒。如有不一致的地方，以招标文件为准）</w:t>
      </w:r>
    </w:p>
    <w:p>
      <w:pPr>
        <w:pStyle w:val="27"/>
        <w:numPr>
          <w:ilvl w:val="0"/>
          <w:numId w:val="2"/>
        </w:numPr>
        <w:tabs>
          <w:tab w:val="left" w:pos="400"/>
        </w:tabs>
        <w:spacing w:line="360" w:lineRule="auto"/>
        <w:ind w:left="399" w:hanging="399" w:hangingChars="190"/>
        <w:rPr>
          <w:rFonts w:hAnsi="宋体" w:cs="宋体"/>
          <w:color w:val="auto"/>
          <w:sz w:val="21"/>
          <w:szCs w:val="21"/>
          <w:highlight w:val="none"/>
        </w:rPr>
      </w:pPr>
      <w:r>
        <w:rPr>
          <w:rFonts w:hint="eastAsia" w:ascii="宋体" w:hAnsi="宋体" w:cs="宋体"/>
          <w:color w:val="auto"/>
          <w:sz w:val="21"/>
          <w:szCs w:val="21"/>
          <w:highlight w:val="none"/>
        </w:rPr>
        <w:t>如无另行说明，投标文件递交时间为投标截止时间前30分钟内。</w:t>
      </w:r>
      <w:r>
        <w:rPr>
          <w:rFonts w:hint="eastAsia" w:hAnsi="宋体" w:cs="宋体"/>
          <w:color w:val="auto"/>
          <w:sz w:val="21"/>
          <w:szCs w:val="21"/>
          <w:highlight w:val="none"/>
        </w:rPr>
        <w:t>（网上开标不适用）</w:t>
      </w:r>
    </w:p>
    <w:p>
      <w:pPr>
        <w:pStyle w:val="27"/>
        <w:numPr>
          <w:ilvl w:val="0"/>
          <w:numId w:val="2"/>
        </w:numPr>
        <w:tabs>
          <w:tab w:val="left" w:pos="400"/>
        </w:tabs>
        <w:spacing w:line="360" w:lineRule="auto"/>
        <w:ind w:left="399" w:hanging="399" w:hangingChars="190"/>
        <w:rPr>
          <w:rFonts w:hAnsi="宋体" w:cs="宋体"/>
          <w:color w:val="auto"/>
          <w:sz w:val="21"/>
          <w:szCs w:val="21"/>
          <w:highlight w:val="none"/>
        </w:rPr>
      </w:pPr>
      <w:r>
        <w:rPr>
          <w:rFonts w:hint="eastAsia" w:ascii="宋体" w:hAnsi="宋体" w:cs="宋体"/>
          <w:color w:val="auto"/>
          <w:sz w:val="21"/>
          <w:szCs w:val="21"/>
          <w:highlight w:val="none"/>
        </w:rPr>
        <w:t>为避免因迟到而失去投标资格，请适当提前到达。</w:t>
      </w:r>
      <w:r>
        <w:rPr>
          <w:rFonts w:hint="eastAsia" w:hAnsi="宋体" w:cs="宋体"/>
          <w:color w:val="auto"/>
          <w:sz w:val="21"/>
          <w:szCs w:val="21"/>
          <w:highlight w:val="none"/>
        </w:rPr>
        <w:t>（网上开标不适用）</w:t>
      </w:r>
    </w:p>
    <w:p>
      <w:pPr>
        <w:pStyle w:val="27"/>
        <w:numPr>
          <w:ilvl w:val="0"/>
          <w:numId w:val="2"/>
        </w:numPr>
        <w:tabs>
          <w:tab w:val="left" w:pos="400"/>
        </w:tabs>
        <w:spacing w:line="360" w:lineRule="auto"/>
        <w:ind w:left="399" w:hanging="399" w:hangingChars="190"/>
        <w:rPr>
          <w:rFonts w:hAnsi="宋体" w:cs="宋体"/>
          <w:color w:val="auto"/>
          <w:sz w:val="21"/>
          <w:szCs w:val="21"/>
          <w:highlight w:val="none"/>
        </w:rPr>
      </w:pPr>
      <w:r>
        <w:rPr>
          <w:rFonts w:hint="eastAsia" w:ascii="宋体" w:hAnsi="宋体" w:cs="宋体"/>
          <w:color w:val="auto"/>
          <w:sz w:val="21"/>
          <w:szCs w:val="21"/>
          <w:highlight w:val="none"/>
        </w:rPr>
        <w:t>投标保证金必须于</w:t>
      </w:r>
      <w:bookmarkStart w:id="0" w:name="OLE_LINK30"/>
      <w:r>
        <w:rPr>
          <w:rFonts w:hint="eastAsia" w:hAnsi="宋体" w:cs="宋体"/>
          <w:color w:val="auto"/>
          <w:sz w:val="21"/>
          <w:szCs w:val="21"/>
          <w:highlight w:val="none"/>
        </w:rPr>
        <w:t>按照招标文件</w:t>
      </w:r>
      <w:r>
        <w:rPr>
          <w:rFonts w:hint="eastAsia" w:ascii="宋体" w:hAnsi="宋体" w:cs="宋体"/>
          <w:color w:val="auto"/>
          <w:sz w:val="21"/>
          <w:szCs w:val="21"/>
          <w:highlight w:val="none"/>
        </w:rPr>
        <w:t>递交截止</w:t>
      </w:r>
      <w:bookmarkEnd w:id="0"/>
      <w:r>
        <w:rPr>
          <w:rFonts w:hint="eastAsia" w:ascii="宋体" w:hAnsi="宋体" w:cs="宋体"/>
          <w:color w:val="auto"/>
          <w:sz w:val="21"/>
          <w:szCs w:val="21"/>
          <w:highlight w:val="none"/>
        </w:rPr>
        <w:t>时间前到达</w:t>
      </w:r>
      <w:r>
        <w:rPr>
          <w:rFonts w:hint="eastAsia" w:ascii="宋体" w:hAnsi="宋体" w:cs="宋体"/>
          <w:color w:val="auto"/>
          <w:kern w:val="28"/>
          <w:sz w:val="21"/>
          <w:szCs w:val="21"/>
          <w:highlight w:val="none"/>
        </w:rPr>
        <w:t>中山市公共资源交易中心</w:t>
      </w:r>
      <w:r>
        <w:rPr>
          <w:rFonts w:hint="eastAsia" w:ascii="宋体" w:hAnsi="宋体" w:cs="宋体"/>
          <w:color w:val="auto"/>
          <w:sz w:val="21"/>
          <w:szCs w:val="21"/>
          <w:highlight w:val="none"/>
        </w:rPr>
        <w:t>账户（</w:t>
      </w:r>
      <w:r>
        <w:rPr>
          <w:rFonts w:hint="eastAsia" w:ascii="宋体" w:hAnsi="宋体" w:cs="宋体"/>
          <w:b/>
          <w:bCs/>
          <w:color w:val="auto"/>
          <w:sz w:val="21"/>
          <w:szCs w:val="21"/>
          <w:highlight w:val="none"/>
        </w:rPr>
        <w:t>开户行及账号</w:t>
      </w:r>
      <w:r>
        <w:rPr>
          <w:rFonts w:hint="eastAsia" w:hAnsi="宋体" w:cs="宋体"/>
          <w:b/>
          <w:bCs/>
          <w:color w:val="auto"/>
          <w:sz w:val="21"/>
          <w:szCs w:val="21"/>
          <w:highlight w:val="none"/>
        </w:rPr>
        <w:t>由供应商/投标人自行登录综合交易系统领取</w:t>
      </w:r>
      <w:r>
        <w:rPr>
          <w:rFonts w:hint="eastAsia" w:ascii="宋体" w:hAnsi="宋体" w:cs="宋体"/>
          <w:color w:val="auto"/>
          <w:sz w:val="21"/>
          <w:szCs w:val="21"/>
          <w:highlight w:val="none"/>
        </w:rPr>
        <w:t>）。由于转账当天不一定能够到账，为避免因投标保证金未到账而导致投标被拒绝，建议至少提前2个工作日转账。</w:t>
      </w:r>
    </w:p>
    <w:p>
      <w:pPr>
        <w:pStyle w:val="27"/>
        <w:numPr>
          <w:ilvl w:val="0"/>
          <w:numId w:val="2"/>
        </w:numPr>
        <w:tabs>
          <w:tab w:val="left" w:pos="400"/>
        </w:tabs>
        <w:spacing w:line="360" w:lineRule="auto"/>
        <w:ind w:left="399" w:hanging="399" w:hangingChars="190"/>
        <w:rPr>
          <w:rFonts w:hAnsi="宋体" w:cs="宋体"/>
          <w:color w:val="auto"/>
          <w:sz w:val="21"/>
          <w:szCs w:val="21"/>
          <w:highlight w:val="none"/>
        </w:rPr>
      </w:pPr>
      <w:r>
        <w:rPr>
          <w:rFonts w:hint="eastAsia" w:ascii="宋体" w:hAnsi="宋体" w:cs="宋体"/>
          <w:color w:val="auto"/>
          <w:sz w:val="21"/>
          <w:szCs w:val="21"/>
          <w:highlight w:val="none"/>
        </w:rPr>
        <w:t>请仔细检查投标文件是否已按要求签名、盖章、签署日期。</w:t>
      </w:r>
    </w:p>
    <w:p>
      <w:pPr>
        <w:pStyle w:val="27"/>
        <w:numPr>
          <w:ilvl w:val="0"/>
          <w:numId w:val="2"/>
        </w:numPr>
        <w:tabs>
          <w:tab w:val="left" w:pos="400"/>
        </w:tabs>
        <w:spacing w:line="360" w:lineRule="auto"/>
        <w:ind w:left="399" w:hanging="399" w:hangingChars="190"/>
        <w:rPr>
          <w:rFonts w:hAnsi="宋体" w:cs="宋体"/>
          <w:color w:val="auto"/>
          <w:sz w:val="21"/>
          <w:szCs w:val="21"/>
          <w:highlight w:val="none"/>
        </w:rPr>
      </w:pPr>
      <w:r>
        <w:rPr>
          <w:rFonts w:hint="eastAsia" w:ascii="宋体" w:hAnsi="宋体" w:cs="宋体"/>
          <w:color w:val="auto"/>
          <w:sz w:val="21"/>
          <w:szCs w:val="21"/>
          <w:highlight w:val="none"/>
        </w:rPr>
        <w:t>投标文件应按顺序编制页码。</w:t>
      </w:r>
    </w:p>
    <w:p>
      <w:pPr>
        <w:pStyle w:val="27"/>
        <w:numPr>
          <w:ilvl w:val="0"/>
          <w:numId w:val="2"/>
        </w:numPr>
        <w:tabs>
          <w:tab w:val="left" w:pos="400"/>
        </w:tabs>
        <w:spacing w:line="360" w:lineRule="auto"/>
        <w:ind w:left="399" w:hanging="399" w:hangingChars="190"/>
        <w:rPr>
          <w:rFonts w:hAnsi="宋体" w:cs="宋体"/>
          <w:color w:val="auto"/>
          <w:sz w:val="21"/>
          <w:szCs w:val="21"/>
          <w:highlight w:val="none"/>
        </w:rPr>
      </w:pPr>
      <w:r>
        <w:rPr>
          <w:rFonts w:hint="eastAsia" w:ascii="宋体" w:hAnsi="宋体" w:cs="宋体"/>
          <w:color w:val="auto"/>
          <w:sz w:val="21"/>
          <w:szCs w:val="21"/>
          <w:highlight w:val="none"/>
        </w:rPr>
        <w:t>建议</w:t>
      </w:r>
      <w:r>
        <w:rPr>
          <w:rFonts w:hint="eastAsia" w:hAnsi="宋体" w:cs="宋体"/>
          <w:color w:val="auto"/>
          <w:sz w:val="21"/>
          <w:szCs w:val="21"/>
          <w:highlight w:val="none"/>
        </w:rPr>
        <w:t>供应商/</w:t>
      </w:r>
      <w:r>
        <w:rPr>
          <w:rFonts w:hint="eastAsia" w:ascii="宋体" w:hAnsi="宋体" w:cs="宋体"/>
          <w:color w:val="auto"/>
          <w:sz w:val="21"/>
          <w:szCs w:val="21"/>
          <w:highlight w:val="none"/>
        </w:rPr>
        <w:t>投标人在</w:t>
      </w:r>
      <w:r>
        <w:rPr>
          <w:rFonts w:hint="eastAsia" w:hAnsi="宋体" w:cs="宋体"/>
          <w:color w:val="auto"/>
          <w:sz w:val="21"/>
          <w:szCs w:val="21"/>
          <w:highlight w:val="none"/>
        </w:rPr>
        <w:t>获取招标文件</w:t>
      </w:r>
      <w:r>
        <w:rPr>
          <w:rFonts w:hint="eastAsia" w:ascii="宋体" w:hAnsi="宋体" w:cs="宋体"/>
          <w:color w:val="auto"/>
          <w:sz w:val="21"/>
          <w:szCs w:val="21"/>
          <w:highlight w:val="none"/>
        </w:rPr>
        <w:t xml:space="preserve">前登录中山市公共资源交易网（网址：      </w:t>
      </w:r>
      <w:r>
        <w:rPr>
          <w:rFonts w:hint="eastAsia" w:hAnsi="宋体"/>
          <w:b/>
          <w:bCs/>
          <w:color w:val="auto"/>
          <w:sz w:val="21"/>
          <w:szCs w:val="21"/>
          <w:highlight w:val="none"/>
        </w:rPr>
        <w:t>http://ggzyjy.zs.gov.cn/</w:t>
      </w:r>
      <w:r>
        <w:rPr>
          <w:rFonts w:hint="eastAsia" w:ascii="宋体" w:hAnsi="宋体" w:cs="宋体"/>
          <w:color w:val="auto"/>
          <w:sz w:val="21"/>
          <w:szCs w:val="21"/>
          <w:highlight w:val="none"/>
        </w:rPr>
        <w:t>）进行用户注册登记，便于顺利完成获取招标文件。</w:t>
      </w:r>
    </w:p>
    <w:p>
      <w:pPr>
        <w:pStyle w:val="27"/>
        <w:numPr>
          <w:ilvl w:val="0"/>
          <w:numId w:val="2"/>
        </w:numPr>
        <w:tabs>
          <w:tab w:val="left" w:pos="400"/>
        </w:tabs>
        <w:spacing w:line="360" w:lineRule="auto"/>
        <w:ind w:left="399" w:hanging="399" w:hangingChars="190"/>
        <w:rPr>
          <w:rFonts w:hAnsi="宋体" w:cs="宋体"/>
          <w:color w:val="auto"/>
          <w:sz w:val="21"/>
          <w:szCs w:val="21"/>
          <w:highlight w:val="none"/>
        </w:rPr>
      </w:pPr>
      <w:r>
        <w:rPr>
          <w:rFonts w:hint="eastAsia" w:ascii="宋体" w:hAnsi="宋体" w:cs="宋体"/>
          <w:color w:val="auto"/>
          <w:sz w:val="21"/>
          <w:szCs w:val="21"/>
          <w:highlight w:val="none"/>
        </w:rPr>
        <w:t>招标文件（含有关附件）统一在中山市公共资源电子交易</w:t>
      </w:r>
      <w:r>
        <w:rPr>
          <w:rFonts w:hint="eastAsia" w:hAnsi="宋体" w:cs="宋体"/>
          <w:color w:val="auto"/>
          <w:sz w:val="21"/>
          <w:szCs w:val="21"/>
          <w:highlight w:val="none"/>
        </w:rPr>
        <w:t>系统</w:t>
      </w:r>
      <w:r>
        <w:rPr>
          <w:rFonts w:hint="eastAsia" w:ascii="宋体" w:hAnsi="宋体" w:cs="宋体"/>
          <w:color w:val="auto"/>
          <w:sz w:val="21"/>
          <w:szCs w:val="21"/>
          <w:highlight w:val="none"/>
        </w:rPr>
        <w:t>发售，潜在投标人在招标文件发售期通过数字证书登录交易</w:t>
      </w:r>
      <w:r>
        <w:rPr>
          <w:rFonts w:hint="eastAsia" w:hAnsi="宋体" w:cs="宋体"/>
          <w:color w:val="auto"/>
          <w:sz w:val="21"/>
          <w:szCs w:val="21"/>
          <w:highlight w:val="none"/>
        </w:rPr>
        <w:t>系统</w:t>
      </w:r>
      <w:r>
        <w:rPr>
          <w:rFonts w:hint="eastAsia" w:ascii="宋体" w:hAnsi="宋体" w:cs="宋体"/>
          <w:color w:val="auto"/>
          <w:sz w:val="21"/>
          <w:szCs w:val="21"/>
          <w:highlight w:val="none"/>
        </w:rPr>
        <w:t>实名下载获取完整的招标文件（含有关附件）即视为招标文件已发售给投标人。</w:t>
      </w:r>
    </w:p>
    <w:p>
      <w:pPr>
        <w:pStyle w:val="27"/>
        <w:numPr>
          <w:ilvl w:val="0"/>
          <w:numId w:val="2"/>
        </w:numPr>
        <w:tabs>
          <w:tab w:val="left" w:pos="426"/>
        </w:tabs>
        <w:spacing w:line="360" w:lineRule="auto"/>
        <w:ind w:left="399" w:hanging="399" w:hangingChars="190"/>
        <w:rPr>
          <w:rFonts w:hAnsi="宋体" w:cs="宋体"/>
          <w:color w:val="auto"/>
          <w:sz w:val="21"/>
          <w:szCs w:val="21"/>
          <w:highlight w:val="none"/>
        </w:rPr>
      </w:pPr>
      <w:r>
        <w:rPr>
          <w:rFonts w:hint="eastAsia" w:ascii="宋体" w:hAnsi="宋体" w:cs="宋体"/>
          <w:color w:val="auto"/>
          <w:sz w:val="21"/>
          <w:szCs w:val="21"/>
          <w:highlight w:val="none"/>
        </w:rPr>
        <w:t>网上开评标注意事项</w:t>
      </w:r>
    </w:p>
    <w:p>
      <w:pPr>
        <w:pStyle w:val="27"/>
        <w:tabs>
          <w:tab w:val="left" w:pos="426"/>
        </w:tabs>
        <w:spacing w:line="360" w:lineRule="auto"/>
        <w:ind w:left="502" w:firstLine="0" w:firstLineChars="0"/>
        <w:rPr>
          <w:rFonts w:hAnsi="宋体" w:cs="宋体"/>
          <w:color w:val="auto"/>
          <w:sz w:val="21"/>
          <w:szCs w:val="21"/>
          <w:highlight w:val="none"/>
        </w:rPr>
      </w:pPr>
      <w:r>
        <w:rPr>
          <w:rFonts w:hint="eastAsia" w:ascii="宋体" w:hAnsi="宋体" w:cs="宋体"/>
          <w:color w:val="auto"/>
          <w:sz w:val="21"/>
          <w:szCs w:val="21"/>
          <w:highlight w:val="none"/>
        </w:rPr>
        <w:t>（一）发生下列情况的，开标（评标）无效、中止或终止，恢复开标（评标）的时间视情况而定：</w:t>
      </w:r>
    </w:p>
    <w:p>
      <w:pPr>
        <w:pStyle w:val="27"/>
        <w:tabs>
          <w:tab w:val="left" w:pos="426"/>
        </w:tabs>
        <w:spacing w:line="360" w:lineRule="auto"/>
        <w:ind w:left="502" w:firstLine="0" w:firstLineChars="0"/>
        <w:rPr>
          <w:rFonts w:hAnsi="宋体" w:cs="宋体"/>
          <w:color w:val="auto"/>
          <w:sz w:val="21"/>
          <w:szCs w:val="21"/>
          <w:highlight w:val="none"/>
        </w:rPr>
      </w:pPr>
      <w:r>
        <w:rPr>
          <w:rFonts w:hint="eastAsia" w:ascii="宋体" w:hAnsi="宋体" w:cs="宋体"/>
          <w:color w:val="auto"/>
          <w:sz w:val="21"/>
          <w:szCs w:val="21"/>
          <w:highlight w:val="none"/>
        </w:rPr>
        <w:t>1、停电或服务器发生故障而无法访问网页或综合交易系统；</w:t>
      </w:r>
    </w:p>
    <w:p>
      <w:pPr>
        <w:pStyle w:val="27"/>
        <w:tabs>
          <w:tab w:val="left" w:pos="426"/>
        </w:tabs>
        <w:spacing w:line="360" w:lineRule="auto"/>
        <w:ind w:left="502" w:firstLine="0" w:firstLineChars="0"/>
        <w:rPr>
          <w:rFonts w:hAnsi="宋体" w:cs="宋体"/>
          <w:color w:val="auto"/>
          <w:sz w:val="21"/>
          <w:szCs w:val="21"/>
          <w:highlight w:val="none"/>
        </w:rPr>
      </w:pPr>
      <w:r>
        <w:rPr>
          <w:rFonts w:hint="eastAsia" w:ascii="宋体" w:hAnsi="宋体" w:cs="宋体"/>
          <w:color w:val="auto"/>
          <w:sz w:val="21"/>
          <w:szCs w:val="21"/>
          <w:highlight w:val="none"/>
        </w:rPr>
        <w:t>2、综合交易系统软件或网络数据库出现错误，不能进行正常的操作；</w:t>
      </w:r>
    </w:p>
    <w:p>
      <w:pPr>
        <w:pStyle w:val="27"/>
        <w:tabs>
          <w:tab w:val="left" w:pos="426"/>
        </w:tabs>
        <w:spacing w:line="360" w:lineRule="auto"/>
        <w:ind w:left="502" w:firstLine="0" w:firstLineChars="0"/>
        <w:rPr>
          <w:rFonts w:hAnsi="宋体" w:cs="宋体"/>
          <w:color w:val="auto"/>
          <w:sz w:val="21"/>
          <w:szCs w:val="21"/>
          <w:highlight w:val="none"/>
        </w:rPr>
      </w:pPr>
      <w:r>
        <w:rPr>
          <w:rFonts w:hint="eastAsia" w:ascii="宋体" w:hAnsi="宋体" w:cs="宋体"/>
          <w:color w:val="auto"/>
          <w:sz w:val="21"/>
          <w:szCs w:val="21"/>
          <w:highlight w:val="none"/>
        </w:rPr>
        <w:t>3、综合交易系统发现有安全漏洞，有潜在的泄密危险；</w:t>
      </w:r>
    </w:p>
    <w:p>
      <w:pPr>
        <w:pStyle w:val="27"/>
        <w:tabs>
          <w:tab w:val="left" w:pos="426"/>
        </w:tabs>
        <w:spacing w:line="360" w:lineRule="auto"/>
        <w:ind w:left="502" w:firstLine="0" w:firstLineChars="0"/>
        <w:rPr>
          <w:rFonts w:hAnsi="宋体" w:cs="宋体"/>
          <w:color w:val="auto"/>
          <w:sz w:val="21"/>
          <w:szCs w:val="21"/>
          <w:highlight w:val="none"/>
        </w:rPr>
      </w:pPr>
      <w:r>
        <w:rPr>
          <w:rFonts w:hint="eastAsia" w:ascii="宋体" w:hAnsi="宋体" w:cs="宋体"/>
          <w:color w:val="auto"/>
          <w:sz w:val="21"/>
          <w:szCs w:val="21"/>
          <w:highlight w:val="none"/>
        </w:rPr>
        <w:t>4、计算机病毒造成影响；</w:t>
      </w:r>
    </w:p>
    <w:p>
      <w:pPr>
        <w:pStyle w:val="27"/>
        <w:tabs>
          <w:tab w:val="left" w:pos="426"/>
        </w:tabs>
        <w:spacing w:line="360" w:lineRule="auto"/>
        <w:ind w:left="502" w:firstLine="0" w:firstLineChars="0"/>
        <w:rPr>
          <w:rFonts w:hAnsi="宋体" w:cs="宋体"/>
          <w:color w:val="auto"/>
          <w:sz w:val="21"/>
          <w:szCs w:val="21"/>
          <w:highlight w:val="none"/>
        </w:rPr>
      </w:pPr>
      <w:r>
        <w:rPr>
          <w:rFonts w:hint="eastAsia" w:ascii="宋体" w:hAnsi="宋体" w:cs="宋体"/>
          <w:color w:val="auto"/>
          <w:sz w:val="21"/>
          <w:szCs w:val="21"/>
          <w:highlight w:val="none"/>
        </w:rPr>
        <w:t>5、其他无法保证电子招标投标过程的公平、公正和信息安全的意外情况；</w:t>
      </w:r>
    </w:p>
    <w:p>
      <w:pPr>
        <w:pStyle w:val="27"/>
        <w:tabs>
          <w:tab w:val="left" w:pos="426"/>
        </w:tabs>
        <w:spacing w:line="360" w:lineRule="auto"/>
        <w:ind w:left="502" w:firstLine="0" w:firstLineChars="0"/>
        <w:rPr>
          <w:rFonts w:hAnsi="宋体" w:cs="宋体"/>
          <w:color w:val="auto"/>
          <w:sz w:val="21"/>
          <w:szCs w:val="21"/>
          <w:highlight w:val="none"/>
        </w:rPr>
      </w:pPr>
      <w:r>
        <w:rPr>
          <w:rFonts w:hint="eastAsia" w:ascii="宋体" w:hAnsi="宋体" w:cs="宋体"/>
          <w:color w:val="auto"/>
          <w:sz w:val="21"/>
          <w:szCs w:val="21"/>
          <w:highlight w:val="none"/>
        </w:rPr>
        <w:t>6、司法机关、</w:t>
      </w:r>
      <w:r>
        <w:rPr>
          <w:rFonts w:hint="eastAsia" w:hAnsi="宋体" w:cs="宋体"/>
          <w:color w:val="auto"/>
          <w:sz w:val="21"/>
          <w:szCs w:val="21"/>
          <w:highlight w:val="none"/>
        </w:rPr>
        <w:t>监察机关</w:t>
      </w:r>
      <w:r>
        <w:rPr>
          <w:rFonts w:hint="eastAsia" w:ascii="宋体" w:hAnsi="宋体" w:cs="宋体"/>
          <w:color w:val="auto"/>
          <w:sz w:val="21"/>
          <w:szCs w:val="21"/>
          <w:highlight w:val="none"/>
        </w:rPr>
        <w:t>依法要求中止或者终止电子招标投标活动的；</w:t>
      </w:r>
    </w:p>
    <w:p>
      <w:pPr>
        <w:pStyle w:val="27"/>
        <w:tabs>
          <w:tab w:val="left" w:pos="426"/>
        </w:tabs>
        <w:spacing w:line="360" w:lineRule="auto"/>
        <w:ind w:left="502" w:firstLine="0" w:firstLineChars="0"/>
        <w:rPr>
          <w:rFonts w:hAnsi="宋体" w:cs="宋体"/>
          <w:color w:val="auto"/>
          <w:sz w:val="21"/>
          <w:szCs w:val="21"/>
          <w:highlight w:val="none"/>
        </w:rPr>
      </w:pPr>
      <w:r>
        <w:rPr>
          <w:rFonts w:hint="eastAsia" w:ascii="宋体" w:hAnsi="宋体" w:cs="宋体"/>
          <w:color w:val="auto"/>
          <w:sz w:val="21"/>
          <w:szCs w:val="21"/>
          <w:highlight w:val="none"/>
        </w:rPr>
        <w:t>7、</w:t>
      </w:r>
      <w:r>
        <w:rPr>
          <w:rFonts w:hint="eastAsia" w:hAnsi="宋体" w:cs="宋体"/>
          <w:color w:val="auto"/>
          <w:sz w:val="21"/>
          <w:szCs w:val="21"/>
          <w:highlight w:val="none"/>
        </w:rPr>
        <w:t>相关行政监督管理部门</w:t>
      </w:r>
      <w:r>
        <w:rPr>
          <w:rFonts w:hint="eastAsia" w:ascii="宋体" w:hAnsi="宋体" w:cs="宋体"/>
          <w:color w:val="auto"/>
          <w:sz w:val="21"/>
          <w:szCs w:val="21"/>
          <w:highlight w:val="none"/>
        </w:rPr>
        <w:t>依法</w:t>
      </w:r>
      <w:r>
        <w:rPr>
          <w:rFonts w:hint="eastAsia" w:hAnsi="宋体" w:cs="宋体"/>
          <w:color w:val="auto"/>
          <w:sz w:val="21"/>
          <w:szCs w:val="21"/>
          <w:highlight w:val="none"/>
        </w:rPr>
        <w:t>要求</w:t>
      </w:r>
      <w:r>
        <w:rPr>
          <w:rFonts w:hint="eastAsia" w:ascii="宋体" w:hAnsi="宋体" w:cs="宋体"/>
          <w:color w:val="auto"/>
          <w:sz w:val="21"/>
          <w:szCs w:val="21"/>
          <w:highlight w:val="none"/>
        </w:rPr>
        <w:t>该项目中止或者终止的；</w:t>
      </w:r>
    </w:p>
    <w:p>
      <w:pPr>
        <w:pStyle w:val="27"/>
        <w:tabs>
          <w:tab w:val="left" w:pos="426"/>
        </w:tabs>
        <w:spacing w:line="360" w:lineRule="auto"/>
        <w:ind w:left="502" w:firstLine="0" w:firstLineChars="0"/>
        <w:rPr>
          <w:rFonts w:hAnsi="宋体" w:cs="宋体"/>
          <w:color w:val="auto"/>
          <w:sz w:val="21"/>
          <w:szCs w:val="21"/>
          <w:highlight w:val="none"/>
        </w:rPr>
      </w:pPr>
      <w:r>
        <w:rPr>
          <w:rFonts w:hint="eastAsia" w:ascii="宋体" w:hAnsi="宋体" w:cs="宋体"/>
          <w:color w:val="auto"/>
          <w:sz w:val="21"/>
          <w:szCs w:val="21"/>
          <w:highlight w:val="none"/>
        </w:rPr>
        <w:t>8、招标人有正当理由要求中止的；</w:t>
      </w:r>
    </w:p>
    <w:p>
      <w:pPr>
        <w:pStyle w:val="27"/>
        <w:tabs>
          <w:tab w:val="left" w:pos="426"/>
        </w:tabs>
        <w:spacing w:line="360" w:lineRule="auto"/>
        <w:ind w:left="502" w:firstLine="0" w:firstLineChars="0"/>
        <w:rPr>
          <w:rFonts w:hAnsi="宋体" w:cs="宋体"/>
          <w:color w:val="auto"/>
          <w:sz w:val="21"/>
          <w:szCs w:val="21"/>
          <w:highlight w:val="none"/>
        </w:rPr>
      </w:pPr>
      <w:r>
        <w:rPr>
          <w:rFonts w:hint="eastAsia" w:ascii="宋体" w:hAnsi="宋体" w:cs="宋体"/>
          <w:color w:val="auto"/>
          <w:sz w:val="21"/>
          <w:szCs w:val="21"/>
          <w:highlight w:val="none"/>
        </w:rPr>
        <w:t>9、依法应当中止或终止网上招标投标活动的其他情形。</w:t>
      </w:r>
    </w:p>
    <w:p>
      <w:pPr>
        <w:pStyle w:val="27"/>
        <w:tabs>
          <w:tab w:val="left" w:pos="426"/>
        </w:tabs>
        <w:spacing w:line="360" w:lineRule="auto"/>
        <w:ind w:left="502" w:firstLine="0" w:firstLineChars="0"/>
        <w:rPr>
          <w:rFonts w:hAnsi="宋体" w:cs="宋体"/>
          <w:color w:val="auto"/>
          <w:sz w:val="21"/>
          <w:szCs w:val="21"/>
          <w:highlight w:val="none"/>
        </w:rPr>
      </w:pPr>
      <w:r>
        <w:rPr>
          <w:rFonts w:hint="eastAsia" w:ascii="宋体" w:hAnsi="宋体" w:cs="宋体"/>
          <w:color w:val="auto"/>
          <w:sz w:val="21"/>
          <w:szCs w:val="21"/>
          <w:highlight w:val="none"/>
        </w:rPr>
        <w:t>（</w:t>
      </w:r>
      <w:r>
        <w:rPr>
          <w:rFonts w:hint="eastAsia" w:hAnsi="宋体" w:cs="宋体"/>
          <w:color w:val="auto"/>
          <w:sz w:val="21"/>
          <w:szCs w:val="21"/>
          <w:highlight w:val="none"/>
        </w:rPr>
        <w:t>二</w:t>
      </w:r>
      <w:r>
        <w:rPr>
          <w:rFonts w:hint="eastAsia" w:ascii="宋体" w:hAnsi="宋体" w:cs="宋体"/>
          <w:color w:val="auto"/>
          <w:sz w:val="21"/>
          <w:szCs w:val="21"/>
          <w:highlight w:val="none"/>
        </w:rPr>
        <w:t>）投标人在电子招标投标活动中实施的行为所产生的后果，由投标人承担</w:t>
      </w:r>
      <w:r>
        <w:rPr>
          <w:rFonts w:hint="eastAsia" w:hAnsi="宋体" w:cs="宋体"/>
          <w:color w:val="auto"/>
          <w:sz w:val="21"/>
          <w:szCs w:val="21"/>
          <w:highlight w:val="none"/>
        </w:rPr>
        <w:t>：</w:t>
      </w:r>
    </w:p>
    <w:p>
      <w:pPr>
        <w:pStyle w:val="27"/>
        <w:tabs>
          <w:tab w:val="left" w:pos="426"/>
        </w:tabs>
        <w:spacing w:line="360" w:lineRule="auto"/>
        <w:ind w:left="502" w:firstLine="0" w:firstLineChars="0"/>
        <w:rPr>
          <w:rFonts w:hAnsi="宋体" w:cs="宋体"/>
          <w:color w:val="auto"/>
          <w:sz w:val="21"/>
          <w:szCs w:val="21"/>
          <w:highlight w:val="none"/>
        </w:rPr>
      </w:pPr>
      <w:r>
        <w:rPr>
          <w:rFonts w:hint="eastAsia" w:ascii="宋体" w:hAnsi="宋体" w:cs="宋体"/>
          <w:color w:val="auto"/>
          <w:sz w:val="21"/>
          <w:szCs w:val="21"/>
          <w:highlight w:val="none"/>
        </w:rPr>
        <w:t>1、投标人的数字证书</w:t>
      </w:r>
      <w:r>
        <w:rPr>
          <w:rFonts w:hint="eastAsia" w:hAnsi="宋体" w:cs="宋体"/>
          <w:color w:val="auto"/>
          <w:sz w:val="21"/>
          <w:szCs w:val="21"/>
          <w:highlight w:val="none"/>
        </w:rPr>
        <w:t>损坏、</w:t>
      </w:r>
      <w:r>
        <w:rPr>
          <w:rFonts w:hint="eastAsia" w:ascii="宋体" w:hAnsi="宋体" w:cs="宋体"/>
          <w:color w:val="auto"/>
          <w:sz w:val="21"/>
          <w:szCs w:val="21"/>
          <w:highlight w:val="none"/>
        </w:rPr>
        <w:t>密码丢失或被他人冒用、盗用的后果，由投标人承担；</w:t>
      </w:r>
    </w:p>
    <w:p>
      <w:pPr>
        <w:pStyle w:val="27"/>
        <w:tabs>
          <w:tab w:val="left" w:pos="426"/>
        </w:tabs>
        <w:spacing w:line="360" w:lineRule="auto"/>
        <w:ind w:left="502" w:firstLine="0" w:firstLineChars="0"/>
        <w:rPr>
          <w:rFonts w:hAnsi="宋体" w:cs="宋体"/>
          <w:color w:val="auto"/>
          <w:sz w:val="21"/>
          <w:szCs w:val="21"/>
          <w:highlight w:val="none"/>
        </w:rPr>
      </w:pPr>
      <w:r>
        <w:rPr>
          <w:rFonts w:hint="eastAsia" w:ascii="宋体" w:hAnsi="宋体" w:cs="宋体"/>
          <w:color w:val="auto"/>
          <w:sz w:val="21"/>
          <w:szCs w:val="21"/>
          <w:highlight w:val="none"/>
        </w:rPr>
        <w:t>2、使用他人数字证书或把数字证书借给他人使用的，作串通投标处理；</w:t>
      </w:r>
    </w:p>
    <w:p>
      <w:pPr>
        <w:pStyle w:val="27"/>
        <w:tabs>
          <w:tab w:val="left" w:pos="426"/>
        </w:tabs>
        <w:spacing w:line="360" w:lineRule="auto"/>
        <w:ind w:left="502" w:firstLine="0" w:firstLineChars="0"/>
        <w:rPr>
          <w:rFonts w:hAnsi="宋体" w:cs="宋体"/>
          <w:color w:val="auto"/>
          <w:sz w:val="21"/>
          <w:szCs w:val="21"/>
          <w:highlight w:val="none"/>
        </w:rPr>
      </w:pPr>
      <w:r>
        <w:rPr>
          <w:rFonts w:hint="eastAsia" w:ascii="宋体" w:hAnsi="宋体" w:cs="宋体"/>
          <w:color w:val="auto"/>
          <w:sz w:val="21"/>
          <w:szCs w:val="21"/>
          <w:highlight w:val="none"/>
        </w:rPr>
        <w:t>3、投标人</w:t>
      </w:r>
      <w:r>
        <w:rPr>
          <w:rFonts w:hint="eastAsia" w:hAnsi="宋体" w:cs="宋体"/>
          <w:color w:val="auto"/>
          <w:sz w:val="21"/>
          <w:szCs w:val="21"/>
          <w:highlight w:val="none"/>
        </w:rPr>
        <w:t>因非不可抗力因素造成</w:t>
      </w:r>
      <w:r>
        <w:rPr>
          <w:rFonts w:hint="eastAsia" w:ascii="宋体" w:hAnsi="宋体" w:cs="宋体"/>
          <w:color w:val="auto"/>
          <w:sz w:val="21"/>
          <w:szCs w:val="21"/>
          <w:highlight w:val="none"/>
        </w:rPr>
        <w:t>不能正常登录网上招标投标系统投标的，后果由投标人承担，电子招标投标活动继续进行；</w:t>
      </w:r>
    </w:p>
    <w:p>
      <w:pPr>
        <w:pStyle w:val="27"/>
        <w:tabs>
          <w:tab w:val="left" w:pos="426"/>
        </w:tabs>
        <w:spacing w:line="360" w:lineRule="auto"/>
        <w:ind w:left="502" w:firstLine="0" w:firstLineChars="0"/>
        <w:rPr>
          <w:rFonts w:hAnsi="宋体" w:cs="宋体"/>
          <w:color w:val="auto"/>
          <w:sz w:val="21"/>
          <w:szCs w:val="21"/>
          <w:highlight w:val="none"/>
        </w:rPr>
      </w:pPr>
      <w:r>
        <w:rPr>
          <w:rFonts w:hint="eastAsia" w:ascii="宋体" w:hAnsi="宋体" w:cs="宋体"/>
          <w:color w:val="auto"/>
          <w:sz w:val="21"/>
          <w:szCs w:val="21"/>
          <w:highlight w:val="none"/>
        </w:rPr>
        <w:t>4、经系统检测到投标人所编制的电子投标文件与其他投标人的电子投标文件由同一电子设备编制、打包加密或者上传，其投标文件将被否决</w:t>
      </w:r>
      <w:r>
        <w:rPr>
          <w:rFonts w:hint="eastAsia" w:hAnsi="宋体" w:cs="宋体"/>
          <w:color w:val="auto"/>
          <w:sz w:val="21"/>
          <w:szCs w:val="21"/>
          <w:highlight w:val="none"/>
        </w:rPr>
        <w:t>。</w:t>
      </w:r>
    </w:p>
    <w:p>
      <w:pPr>
        <w:pStyle w:val="27"/>
        <w:tabs>
          <w:tab w:val="left" w:pos="426"/>
        </w:tabs>
        <w:spacing w:line="360" w:lineRule="auto"/>
        <w:ind w:left="502" w:firstLine="0" w:firstLineChars="0"/>
        <w:rPr>
          <w:rFonts w:hAnsi="宋体" w:cs="宋体"/>
          <w:color w:val="auto"/>
          <w:sz w:val="21"/>
          <w:szCs w:val="21"/>
          <w:highlight w:val="none"/>
        </w:rPr>
      </w:pPr>
      <w:r>
        <w:rPr>
          <w:rFonts w:hint="eastAsia" w:ascii="宋体" w:hAnsi="宋体" w:cs="宋体"/>
          <w:color w:val="auto"/>
          <w:sz w:val="21"/>
          <w:szCs w:val="21"/>
          <w:highlight w:val="none"/>
        </w:rPr>
        <w:t>（</w:t>
      </w:r>
      <w:r>
        <w:rPr>
          <w:rFonts w:hint="eastAsia" w:hAnsi="宋体" w:cs="宋体"/>
          <w:color w:val="auto"/>
          <w:sz w:val="21"/>
          <w:szCs w:val="21"/>
          <w:highlight w:val="none"/>
        </w:rPr>
        <w:t>三</w:t>
      </w:r>
      <w:r>
        <w:rPr>
          <w:rFonts w:hint="eastAsia" w:ascii="宋体" w:hAnsi="宋体" w:cs="宋体"/>
          <w:color w:val="auto"/>
          <w:sz w:val="21"/>
          <w:szCs w:val="21"/>
          <w:highlight w:val="none"/>
        </w:rPr>
        <w:t>）电子评标的项目，投标人须递交具备法律效力的电子投标文件，不再提供纸质投标文件。</w:t>
      </w:r>
    </w:p>
    <w:p>
      <w:pPr>
        <w:tabs>
          <w:tab w:val="left" w:pos="426"/>
        </w:tabs>
        <w:spacing w:line="360" w:lineRule="auto"/>
        <w:ind w:left="142" w:leftChars="71" w:firstLine="315" w:firstLineChars="150"/>
        <w:rPr>
          <w:rFonts w:hAnsi="宋体" w:cs="宋体"/>
          <w:color w:val="auto"/>
          <w:sz w:val="21"/>
          <w:szCs w:val="21"/>
          <w:highlight w:val="none"/>
        </w:rPr>
      </w:pPr>
      <w:r>
        <w:rPr>
          <w:rFonts w:hint="eastAsia" w:hAnsi="宋体" w:cs="宋体"/>
          <w:color w:val="auto"/>
          <w:sz w:val="21"/>
          <w:szCs w:val="21"/>
          <w:highlight w:val="none"/>
        </w:rPr>
        <w:t>（四</w:t>
      </w:r>
      <w:r>
        <w:rPr>
          <w:rFonts w:hint="eastAsia" w:ascii="宋体" w:hAnsi="宋体" w:cs="宋体"/>
          <w:color w:val="auto"/>
          <w:sz w:val="21"/>
          <w:szCs w:val="21"/>
          <w:highlight w:val="none"/>
        </w:rPr>
        <w:t>）《招标文件》中提到的复印件、扫描件，彩色或黑白均可，但必须清晰、明辨，否则投标人自行承担后果。</w:t>
      </w:r>
    </w:p>
    <w:p>
      <w:pPr>
        <w:pStyle w:val="27"/>
        <w:tabs>
          <w:tab w:val="left" w:pos="426"/>
        </w:tabs>
        <w:spacing w:line="360" w:lineRule="auto"/>
        <w:ind w:left="502" w:firstLine="0" w:firstLineChars="0"/>
        <w:rPr>
          <w:rFonts w:hAnsi="宋体" w:cs="宋体"/>
          <w:color w:val="auto"/>
          <w:sz w:val="21"/>
          <w:szCs w:val="21"/>
          <w:highlight w:val="none"/>
        </w:rPr>
      </w:pPr>
      <w:r>
        <w:rPr>
          <w:rFonts w:hint="eastAsia" w:ascii="宋体" w:hAnsi="宋体" w:cs="宋体"/>
          <w:color w:val="auto"/>
          <w:sz w:val="21"/>
          <w:szCs w:val="21"/>
          <w:highlight w:val="none"/>
        </w:rPr>
        <w:t>（</w:t>
      </w:r>
      <w:r>
        <w:rPr>
          <w:rFonts w:hint="eastAsia" w:hAnsi="宋体" w:cs="宋体"/>
          <w:color w:val="auto"/>
          <w:sz w:val="21"/>
          <w:szCs w:val="21"/>
          <w:highlight w:val="none"/>
        </w:rPr>
        <w:t>五</w:t>
      </w:r>
      <w:r>
        <w:rPr>
          <w:rFonts w:hint="eastAsia" w:ascii="宋体" w:hAnsi="宋体" w:cs="宋体"/>
          <w:color w:val="auto"/>
          <w:sz w:val="21"/>
          <w:szCs w:val="21"/>
          <w:highlight w:val="none"/>
        </w:rPr>
        <w:t>）电子招标投标其他有关注意事项详见电子招投标相关法律法规。</w:t>
      </w:r>
    </w:p>
    <w:p>
      <w:pPr>
        <w:pStyle w:val="27"/>
        <w:numPr>
          <w:ilvl w:val="0"/>
          <w:numId w:val="3"/>
        </w:numPr>
        <w:tabs>
          <w:tab w:val="left" w:pos="1190"/>
        </w:tabs>
        <w:spacing w:line="360" w:lineRule="auto"/>
        <w:ind w:firstLineChars="0"/>
        <w:rPr>
          <w:rStyle w:val="25"/>
          <w:rFonts w:hAnsi="宋体"/>
          <w:b/>
          <w:color w:val="auto"/>
          <w:szCs w:val="28"/>
          <w:highlight w:val="none"/>
        </w:rPr>
      </w:pPr>
      <w:r>
        <w:rPr>
          <w:rFonts w:ascii="宋体" w:hAnsi="宋体"/>
          <w:color w:val="auto"/>
          <w:szCs w:val="21"/>
          <w:highlight w:val="none"/>
        </w:rPr>
        <w:br w:type="page"/>
      </w:r>
    </w:p>
    <w:p>
      <w:pPr>
        <w:snapToGrid w:val="0"/>
        <w:spacing w:line="360" w:lineRule="auto"/>
        <w:jc w:val="center"/>
        <w:rPr>
          <w:rFonts w:ascii="宋体" w:hAnsi="宋体" w:cs="宋体"/>
          <w:color w:val="auto"/>
          <w:sz w:val="30"/>
          <w:szCs w:val="30"/>
          <w:highlight w:val="none"/>
        </w:rPr>
      </w:pPr>
      <w:r>
        <w:rPr>
          <w:rFonts w:hint="eastAsia" w:ascii="宋体" w:hAnsi="宋体" w:cs="宋体"/>
          <w:b/>
          <w:bCs/>
          <w:color w:val="auto"/>
          <w:sz w:val="52"/>
          <w:szCs w:val="52"/>
          <w:highlight w:val="none"/>
          <w:lang w:eastAsia="zh-TW"/>
        </w:rPr>
        <w:t>目</w:t>
      </w:r>
      <w:r>
        <w:rPr>
          <w:rFonts w:hint="eastAsia" w:ascii="宋体" w:hAnsi="宋体" w:cs="宋体"/>
          <w:b/>
          <w:bCs/>
          <w:color w:val="auto"/>
          <w:sz w:val="52"/>
          <w:szCs w:val="52"/>
          <w:highlight w:val="none"/>
        </w:rPr>
        <w:t xml:space="preserve">   </w:t>
      </w:r>
      <w:r>
        <w:rPr>
          <w:rFonts w:hint="eastAsia" w:ascii="宋体" w:hAnsi="宋体" w:cs="宋体"/>
          <w:b/>
          <w:bCs/>
          <w:color w:val="auto"/>
          <w:sz w:val="52"/>
          <w:szCs w:val="52"/>
          <w:highlight w:val="none"/>
          <w:lang w:eastAsia="zh-TW"/>
        </w:rPr>
        <w:t>录</w:t>
      </w:r>
    </w:p>
    <w:p>
      <w:pPr>
        <w:pStyle w:val="13"/>
        <w:tabs>
          <w:tab w:val="right" w:leader="dot" w:pos="9638"/>
          <w:tab w:val="clear" w:pos="9060"/>
        </w:tabs>
        <w:rPr>
          <w:rFonts w:asciiTheme="minorEastAsia" w:hAnsiTheme="minorEastAsia" w:eastAsiaTheme="minorEastAsia"/>
          <w:color w:val="auto"/>
          <w:sz w:val="28"/>
          <w:szCs w:val="24"/>
          <w:highlight w:val="none"/>
        </w:rPr>
      </w:pPr>
      <w:r>
        <w:rPr>
          <w:rFonts w:hint="eastAsia" w:ascii="宋体" w:hAnsi="宋体" w:cs="宋体"/>
          <w:color w:val="auto"/>
          <w:sz w:val="36"/>
          <w:szCs w:val="36"/>
          <w:highlight w:val="none"/>
        </w:rPr>
        <w:fldChar w:fldCharType="begin"/>
      </w:r>
      <w:r>
        <w:rPr>
          <w:rStyle w:val="25"/>
          <w:rFonts w:hint="eastAsia" w:ascii="宋体" w:hAnsi="宋体" w:cs="宋体"/>
          <w:color w:val="auto"/>
          <w:sz w:val="36"/>
          <w:szCs w:val="36"/>
          <w:highlight w:val="none"/>
        </w:rPr>
        <w:instrText xml:space="preserve"> TOC \o "1-1" \h \z \u </w:instrText>
      </w:r>
      <w:r>
        <w:rPr>
          <w:rFonts w:hint="eastAsia" w:ascii="宋体" w:hAnsi="宋体" w:cs="宋体"/>
          <w:color w:val="auto"/>
          <w:sz w:val="36"/>
          <w:szCs w:val="36"/>
          <w:highlight w:val="none"/>
        </w:rPr>
        <w:fldChar w:fldCharType="separate"/>
      </w:r>
      <w:r>
        <w:rPr>
          <w:color w:val="auto"/>
          <w:highlight w:val="none"/>
        </w:rPr>
        <w:fldChar w:fldCharType="begin"/>
      </w:r>
      <w:r>
        <w:rPr>
          <w:color w:val="auto"/>
          <w:highlight w:val="none"/>
        </w:rPr>
        <w:instrText xml:space="preserve"> HYPERLINK \l "_Toc25600" </w:instrText>
      </w:r>
      <w:r>
        <w:rPr>
          <w:color w:val="auto"/>
          <w:highlight w:val="none"/>
        </w:rPr>
        <w:fldChar w:fldCharType="separate"/>
      </w:r>
      <w:r>
        <w:rPr>
          <w:rFonts w:hint="eastAsia" w:cs="宋体" w:asciiTheme="minorEastAsia" w:hAnsiTheme="minorEastAsia" w:eastAsiaTheme="minorEastAsia"/>
          <w:bCs/>
          <w:color w:val="auto"/>
          <w:sz w:val="28"/>
          <w:szCs w:val="52"/>
          <w:highlight w:val="none"/>
        </w:rPr>
        <w:t>第一章  投标邀请函</w:t>
      </w:r>
      <w:r>
        <w:rPr>
          <w:rFonts w:asciiTheme="minorEastAsia" w:hAnsiTheme="minorEastAsia" w:eastAsiaTheme="minorEastAsia"/>
          <w:color w:val="auto"/>
          <w:sz w:val="28"/>
          <w:szCs w:val="24"/>
          <w:highlight w:val="none"/>
        </w:rPr>
        <w:tab/>
      </w:r>
      <w:r>
        <w:rPr>
          <w:rFonts w:asciiTheme="minorEastAsia" w:hAnsiTheme="minorEastAsia" w:eastAsiaTheme="minorEastAsia"/>
          <w:color w:val="auto"/>
          <w:sz w:val="28"/>
          <w:szCs w:val="24"/>
          <w:highlight w:val="none"/>
        </w:rPr>
        <w:fldChar w:fldCharType="begin"/>
      </w:r>
      <w:r>
        <w:rPr>
          <w:rFonts w:asciiTheme="minorEastAsia" w:hAnsiTheme="minorEastAsia" w:eastAsiaTheme="minorEastAsia"/>
          <w:color w:val="auto"/>
          <w:sz w:val="28"/>
          <w:szCs w:val="24"/>
          <w:highlight w:val="none"/>
        </w:rPr>
        <w:instrText xml:space="preserve"> PAGEREF _Toc25600 \h </w:instrText>
      </w:r>
      <w:r>
        <w:rPr>
          <w:rFonts w:asciiTheme="minorEastAsia" w:hAnsiTheme="minorEastAsia" w:eastAsiaTheme="minorEastAsia"/>
          <w:color w:val="auto"/>
          <w:sz w:val="28"/>
          <w:szCs w:val="24"/>
          <w:highlight w:val="none"/>
        </w:rPr>
        <w:fldChar w:fldCharType="separate"/>
      </w:r>
      <w:r>
        <w:rPr>
          <w:rFonts w:asciiTheme="minorEastAsia" w:hAnsiTheme="minorEastAsia" w:eastAsiaTheme="minorEastAsia"/>
          <w:color w:val="auto"/>
          <w:sz w:val="28"/>
          <w:szCs w:val="24"/>
          <w:highlight w:val="none"/>
        </w:rPr>
        <w:t>4</w:t>
      </w:r>
      <w:r>
        <w:rPr>
          <w:rFonts w:asciiTheme="minorEastAsia" w:hAnsiTheme="minorEastAsia" w:eastAsiaTheme="minorEastAsia"/>
          <w:color w:val="auto"/>
          <w:sz w:val="28"/>
          <w:szCs w:val="24"/>
          <w:highlight w:val="none"/>
        </w:rPr>
        <w:fldChar w:fldCharType="end"/>
      </w:r>
      <w:r>
        <w:rPr>
          <w:rFonts w:asciiTheme="minorEastAsia" w:hAnsiTheme="minorEastAsia" w:eastAsiaTheme="minorEastAsia"/>
          <w:color w:val="auto"/>
          <w:sz w:val="28"/>
          <w:szCs w:val="24"/>
          <w:highlight w:val="none"/>
        </w:rPr>
        <w:fldChar w:fldCharType="end"/>
      </w:r>
    </w:p>
    <w:p>
      <w:pPr>
        <w:pStyle w:val="13"/>
        <w:tabs>
          <w:tab w:val="right" w:leader="dot" w:pos="9638"/>
          <w:tab w:val="clear" w:pos="9060"/>
        </w:tabs>
        <w:rPr>
          <w:rFonts w:asciiTheme="minorEastAsia" w:hAnsiTheme="minorEastAsia" w:eastAsiaTheme="minorEastAsia"/>
          <w:color w:val="auto"/>
          <w:sz w:val="28"/>
          <w:szCs w:val="24"/>
          <w:highlight w:val="none"/>
        </w:rPr>
      </w:pPr>
      <w:r>
        <w:rPr>
          <w:color w:val="auto"/>
          <w:highlight w:val="none"/>
        </w:rPr>
        <w:fldChar w:fldCharType="begin"/>
      </w:r>
      <w:r>
        <w:rPr>
          <w:color w:val="auto"/>
          <w:highlight w:val="none"/>
        </w:rPr>
        <w:instrText xml:space="preserve"> HYPERLINK \l "_Toc691" </w:instrText>
      </w:r>
      <w:r>
        <w:rPr>
          <w:color w:val="auto"/>
          <w:highlight w:val="none"/>
        </w:rPr>
        <w:fldChar w:fldCharType="separate"/>
      </w:r>
      <w:r>
        <w:rPr>
          <w:rFonts w:hint="eastAsia" w:cs="宋体" w:asciiTheme="minorEastAsia" w:hAnsiTheme="minorEastAsia" w:eastAsiaTheme="minorEastAsia"/>
          <w:bCs/>
          <w:color w:val="auto"/>
          <w:sz w:val="28"/>
          <w:szCs w:val="52"/>
          <w:highlight w:val="none"/>
        </w:rPr>
        <w:t>第二章  用户需求书</w:t>
      </w:r>
      <w:r>
        <w:rPr>
          <w:rFonts w:asciiTheme="minorEastAsia" w:hAnsiTheme="minorEastAsia" w:eastAsiaTheme="minorEastAsia"/>
          <w:color w:val="auto"/>
          <w:sz w:val="28"/>
          <w:szCs w:val="24"/>
          <w:highlight w:val="none"/>
        </w:rPr>
        <w:tab/>
      </w:r>
      <w:r>
        <w:rPr>
          <w:rFonts w:asciiTheme="minorEastAsia" w:hAnsiTheme="minorEastAsia" w:eastAsiaTheme="minorEastAsia"/>
          <w:color w:val="auto"/>
          <w:sz w:val="28"/>
          <w:szCs w:val="24"/>
          <w:highlight w:val="none"/>
        </w:rPr>
        <w:fldChar w:fldCharType="begin"/>
      </w:r>
      <w:r>
        <w:rPr>
          <w:rFonts w:asciiTheme="minorEastAsia" w:hAnsiTheme="minorEastAsia" w:eastAsiaTheme="minorEastAsia"/>
          <w:color w:val="auto"/>
          <w:sz w:val="28"/>
          <w:szCs w:val="24"/>
          <w:highlight w:val="none"/>
        </w:rPr>
        <w:instrText xml:space="preserve"> PAGEREF _Toc691 \h </w:instrText>
      </w:r>
      <w:r>
        <w:rPr>
          <w:rFonts w:asciiTheme="minorEastAsia" w:hAnsiTheme="minorEastAsia" w:eastAsiaTheme="minorEastAsia"/>
          <w:color w:val="auto"/>
          <w:sz w:val="28"/>
          <w:szCs w:val="24"/>
          <w:highlight w:val="none"/>
        </w:rPr>
        <w:fldChar w:fldCharType="separate"/>
      </w:r>
      <w:r>
        <w:rPr>
          <w:rFonts w:asciiTheme="minorEastAsia" w:hAnsiTheme="minorEastAsia" w:eastAsiaTheme="minorEastAsia"/>
          <w:color w:val="auto"/>
          <w:sz w:val="28"/>
          <w:szCs w:val="24"/>
          <w:highlight w:val="none"/>
        </w:rPr>
        <w:t>8</w:t>
      </w:r>
      <w:r>
        <w:rPr>
          <w:rFonts w:asciiTheme="minorEastAsia" w:hAnsiTheme="minorEastAsia" w:eastAsiaTheme="minorEastAsia"/>
          <w:color w:val="auto"/>
          <w:sz w:val="28"/>
          <w:szCs w:val="24"/>
          <w:highlight w:val="none"/>
        </w:rPr>
        <w:fldChar w:fldCharType="end"/>
      </w:r>
      <w:r>
        <w:rPr>
          <w:rFonts w:asciiTheme="minorEastAsia" w:hAnsiTheme="minorEastAsia" w:eastAsiaTheme="minorEastAsia"/>
          <w:color w:val="auto"/>
          <w:sz w:val="28"/>
          <w:szCs w:val="24"/>
          <w:highlight w:val="none"/>
        </w:rPr>
        <w:fldChar w:fldCharType="end"/>
      </w:r>
    </w:p>
    <w:p>
      <w:pPr>
        <w:pStyle w:val="13"/>
        <w:tabs>
          <w:tab w:val="right" w:leader="dot" w:pos="9638"/>
          <w:tab w:val="clear" w:pos="9060"/>
        </w:tabs>
        <w:rPr>
          <w:rFonts w:asciiTheme="minorEastAsia" w:hAnsiTheme="minorEastAsia" w:eastAsiaTheme="minorEastAsia"/>
          <w:color w:val="auto"/>
          <w:sz w:val="28"/>
          <w:szCs w:val="24"/>
          <w:highlight w:val="none"/>
        </w:rPr>
      </w:pPr>
      <w:r>
        <w:rPr>
          <w:color w:val="auto"/>
          <w:highlight w:val="none"/>
        </w:rPr>
        <w:fldChar w:fldCharType="begin"/>
      </w:r>
      <w:r>
        <w:rPr>
          <w:color w:val="auto"/>
          <w:highlight w:val="none"/>
        </w:rPr>
        <w:instrText xml:space="preserve"> HYPERLINK \l "_Toc4406" </w:instrText>
      </w:r>
      <w:r>
        <w:rPr>
          <w:color w:val="auto"/>
          <w:highlight w:val="none"/>
        </w:rPr>
        <w:fldChar w:fldCharType="separate"/>
      </w:r>
      <w:r>
        <w:rPr>
          <w:rFonts w:hint="eastAsia" w:cs="宋体" w:asciiTheme="minorEastAsia" w:hAnsiTheme="minorEastAsia" w:eastAsiaTheme="minorEastAsia"/>
          <w:bCs/>
          <w:color w:val="auto"/>
          <w:sz w:val="28"/>
          <w:szCs w:val="52"/>
          <w:highlight w:val="none"/>
        </w:rPr>
        <w:t>第三章 投标人须知</w:t>
      </w:r>
      <w:r>
        <w:rPr>
          <w:rFonts w:asciiTheme="minorEastAsia" w:hAnsiTheme="minorEastAsia" w:eastAsiaTheme="minorEastAsia"/>
          <w:color w:val="auto"/>
          <w:sz w:val="28"/>
          <w:szCs w:val="24"/>
          <w:highlight w:val="none"/>
        </w:rPr>
        <w:tab/>
      </w:r>
      <w:r>
        <w:rPr>
          <w:rFonts w:asciiTheme="minorEastAsia" w:hAnsiTheme="minorEastAsia" w:eastAsiaTheme="minorEastAsia"/>
          <w:color w:val="auto"/>
          <w:sz w:val="28"/>
          <w:szCs w:val="24"/>
          <w:highlight w:val="none"/>
        </w:rPr>
        <w:fldChar w:fldCharType="begin"/>
      </w:r>
      <w:r>
        <w:rPr>
          <w:rFonts w:asciiTheme="minorEastAsia" w:hAnsiTheme="minorEastAsia" w:eastAsiaTheme="minorEastAsia"/>
          <w:color w:val="auto"/>
          <w:sz w:val="28"/>
          <w:szCs w:val="24"/>
          <w:highlight w:val="none"/>
        </w:rPr>
        <w:instrText xml:space="preserve"> PAGEREF _Toc4406 \h </w:instrText>
      </w:r>
      <w:r>
        <w:rPr>
          <w:rFonts w:asciiTheme="minorEastAsia" w:hAnsiTheme="minorEastAsia" w:eastAsiaTheme="minorEastAsia"/>
          <w:color w:val="auto"/>
          <w:sz w:val="28"/>
          <w:szCs w:val="24"/>
          <w:highlight w:val="none"/>
        </w:rPr>
        <w:fldChar w:fldCharType="separate"/>
      </w:r>
      <w:r>
        <w:rPr>
          <w:rFonts w:asciiTheme="minorEastAsia" w:hAnsiTheme="minorEastAsia" w:eastAsiaTheme="minorEastAsia"/>
          <w:color w:val="auto"/>
          <w:sz w:val="28"/>
          <w:szCs w:val="24"/>
          <w:highlight w:val="none"/>
        </w:rPr>
        <w:t>15</w:t>
      </w:r>
      <w:r>
        <w:rPr>
          <w:rFonts w:asciiTheme="minorEastAsia" w:hAnsiTheme="minorEastAsia" w:eastAsiaTheme="minorEastAsia"/>
          <w:color w:val="auto"/>
          <w:sz w:val="28"/>
          <w:szCs w:val="24"/>
          <w:highlight w:val="none"/>
        </w:rPr>
        <w:fldChar w:fldCharType="end"/>
      </w:r>
      <w:r>
        <w:rPr>
          <w:rFonts w:asciiTheme="minorEastAsia" w:hAnsiTheme="minorEastAsia" w:eastAsiaTheme="minorEastAsia"/>
          <w:color w:val="auto"/>
          <w:sz w:val="28"/>
          <w:szCs w:val="24"/>
          <w:highlight w:val="none"/>
        </w:rPr>
        <w:fldChar w:fldCharType="end"/>
      </w:r>
    </w:p>
    <w:p>
      <w:pPr>
        <w:pStyle w:val="13"/>
        <w:tabs>
          <w:tab w:val="right" w:leader="dot" w:pos="9638"/>
          <w:tab w:val="clear" w:pos="9060"/>
        </w:tabs>
        <w:rPr>
          <w:rFonts w:asciiTheme="minorEastAsia" w:hAnsiTheme="minorEastAsia" w:eastAsiaTheme="minorEastAsia"/>
          <w:color w:val="auto"/>
          <w:sz w:val="28"/>
          <w:szCs w:val="24"/>
          <w:highlight w:val="none"/>
        </w:rPr>
      </w:pPr>
      <w:r>
        <w:rPr>
          <w:color w:val="auto"/>
          <w:highlight w:val="none"/>
        </w:rPr>
        <w:fldChar w:fldCharType="begin"/>
      </w:r>
      <w:r>
        <w:rPr>
          <w:color w:val="auto"/>
          <w:highlight w:val="none"/>
        </w:rPr>
        <w:instrText xml:space="preserve"> HYPERLINK \l "_Toc30345" </w:instrText>
      </w:r>
      <w:r>
        <w:rPr>
          <w:color w:val="auto"/>
          <w:highlight w:val="none"/>
        </w:rPr>
        <w:fldChar w:fldCharType="separate"/>
      </w:r>
      <w:r>
        <w:rPr>
          <w:rFonts w:hint="eastAsia" w:cs="宋体" w:asciiTheme="minorEastAsia" w:hAnsiTheme="minorEastAsia" w:eastAsiaTheme="minorEastAsia"/>
          <w:bCs/>
          <w:color w:val="auto"/>
          <w:sz w:val="28"/>
          <w:szCs w:val="52"/>
          <w:highlight w:val="none"/>
        </w:rPr>
        <w:t>第四章 评分体系与标准</w:t>
      </w:r>
      <w:r>
        <w:rPr>
          <w:rFonts w:asciiTheme="minorEastAsia" w:hAnsiTheme="minorEastAsia" w:eastAsiaTheme="minorEastAsia"/>
          <w:color w:val="auto"/>
          <w:sz w:val="28"/>
          <w:szCs w:val="24"/>
          <w:highlight w:val="none"/>
        </w:rPr>
        <w:tab/>
      </w:r>
      <w:r>
        <w:rPr>
          <w:rFonts w:asciiTheme="minorEastAsia" w:hAnsiTheme="minorEastAsia" w:eastAsiaTheme="minorEastAsia"/>
          <w:color w:val="auto"/>
          <w:sz w:val="28"/>
          <w:szCs w:val="24"/>
          <w:highlight w:val="none"/>
        </w:rPr>
        <w:fldChar w:fldCharType="begin"/>
      </w:r>
      <w:r>
        <w:rPr>
          <w:rFonts w:asciiTheme="minorEastAsia" w:hAnsiTheme="minorEastAsia" w:eastAsiaTheme="minorEastAsia"/>
          <w:color w:val="auto"/>
          <w:sz w:val="28"/>
          <w:szCs w:val="24"/>
          <w:highlight w:val="none"/>
        </w:rPr>
        <w:instrText xml:space="preserve"> PAGEREF _Toc30345 \h </w:instrText>
      </w:r>
      <w:r>
        <w:rPr>
          <w:rFonts w:asciiTheme="minorEastAsia" w:hAnsiTheme="minorEastAsia" w:eastAsiaTheme="minorEastAsia"/>
          <w:color w:val="auto"/>
          <w:sz w:val="28"/>
          <w:szCs w:val="24"/>
          <w:highlight w:val="none"/>
        </w:rPr>
        <w:fldChar w:fldCharType="separate"/>
      </w:r>
      <w:r>
        <w:rPr>
          <w:rFonts w:asciiTheme="minorEastAsia" w:hAnsiTheme="minorEastAsia" w:eastAsiaTheme="minorEastAsia"/>
          <w:color w:val="auto"/>
          <w:sz w:val="28"/>
          <w:szCs w:val="24"/>
          <w:highlight w:val="none"/>
        </w:rPr>
        <w:t>30</w:t>
      </w:r>
      <w:r>
        <w:rPr>
          <w:rFonts w:asciiTheme="minorEastAsia" w:hAnsiTheme="minorEastAsia" w:eastAsiaTheme="minorEastAsia"/>
          <w:color w:val="auto"/>
          <w:sz w:val="28"/>
          <w:szCs w:val="24"/>
          <w:highlight w:val="none"/>
        </w:rPr>
        <w:fldChar w:fldCharType="end"/>
      </w:r>
      <w:r>
        <w:rPr>
          <w:rFonts w:asciiTheme="minorEastAsia" w:hAnsiTheme="minorEastAsia" w:eastAsiaTheme="minorEastAsia"/>
          <w:color w:val="auto"/>
          <w:sz w:val="28"/>
          <w:szCs w:val="24"/>
          <w:highlight w:val="none"/>
        </w:rPr>
        <w:fldChar w:fldCharType="end"/>
      </w:r>
    </w:p>
    <w:p>
      <w:pPr>
        <w:pStyle w:val="13"/>
        <w:tabs>
          <w:tab w:val="right" w:leader="dot" w:pos="9638"/>
          <w:tab w:val="clear" w:pos="9060"/>
        </w:tabs>
        <w:rPr>
          <w:rFonts w:asciiTheme="minorEastAsia" w:hAnsiTheme="minorEastAsia" w:eastAsiaTheme="minorEastAsia"/>
          <w:color w:val="auto"/>
          <w:sz w:val="28"/>
          <w:szCs w:val="24"/>
          <w:highlight w:val="none"/>
        </w:rPr>
      </w:pPr>
      <w:r>
        <w:rPr>
          <w:color w:val="auto"/>
          <w:highlight w:val="none"/>
        </w:rPr>
        <w:fldChar w:fldCharType="begin"/>
      </w:r>
      <w:r>
        <w:rPr>
          <w:color w:val="auto"/>
          <w:highlight w:val="none"/>
        </w:rPr>
        <w:instrText xml:space="preserve"> HYPERLINK \l "_Toc25072" </w:instrText>
      </w:r>
      <w:r>
        <w:rPr>
          <w:color w:val="auto"/>
          <w:highlight w:val="none"/>
        </w:rPr>
        <w:fldChar w:fldCharType="separate"/>
      </w:r>
      <w:r>
        <w:rPr>
          <w:rFonts w:hint="eastAsia" w:cs="宋体" w:asciiTheme="minorEastAsia" w:hAnsiTheme="minorEastAsia" w:eastAsiaTheme="minorEastAsia"/>
          <w:bCs/>
          <w:color w:val="auto"/>
          <w:sz w:val="28"/>
          <w:szCs w:val="52"/>
          <w:highlight w:val="none"/>
        </w:rPr>
        <w:t>第五章 合同书格式</w:t>
      </w:r>
      <w:r>
        <w:rPr>
          <w:rFonts w:asciiTheme="minorEastAsia" w:hAnsiTheme="minorEastAsia" w:eastAsiaTheme="minorEastAsia"/>
          <w:color w:val="auto"/>
          <w:sz w:val="28"/>
          <w:szCs w:val="24"/>
          <w:highlight w:val="none"/>
        </w:rPr>
        <w:tab/>
      </w:r>
      <w:r>
        <w:rPr>
          <w:rFonts w:asciiTheme="minorEastAsia" w:hAnsiTheme="minorEastAsia" w:eastAsiaTheme="minorEastAsia"/>
          <w:color w:val="auto"/>
          <w:sz w:val="28"/>
          <w:szCs w:val="24"/>
          <w:highlight w:val="none"/>
        </w:rPr>
        <w:fldChar w:fldCharType="begin"/>
      </w:r>
      <w:r>
        <w:rPr>
          <w:rFonts w:asciiTheme="minorEastAsia" w:hAnsiTheme="minorEastAsia" w:eastAsiaTheme="minorEastAsia"/>
          <w:color w:val="auto"/>
          <w:sz w:val="28"/>
          <w:szCs w:val="24"/>
          <w:highlight w:val="none"/>
        </w:rPr>
        <w:instrText xml:space="preserve"> PAGEREF _Toc25072 \h </w:instrText>
      </w:r>
      <w:r>
        <w:rPr>
          <w:rFonts w:asciiTheme="minorEastAsia" w:hAnsiTheme="minorEastAsia" w:eastAsiaTheme="minorEastAsia"/>
          <w:color w:val="auto"/>
          <w:sz w:val="28"/>
          <w:szCs w:val="24"/>
          <w:highlight w:val="none"/>
        </w:rPr>
        <w:fldChar w:fldCharType="separate"/>
      </w:r>
      <w:r>
        <w:rPr>
          <w:rFonts w:asciiTheme="minorEastAsia" w:hAnsiTheme="minorEastAsia" w:eastAsiaTheme="minorEastAsia"/>
          <w:color w:val="auto"/>
          <w:sz w:val="28"/>
          <w:szCs w:val="24"/>
          <w:highlight w:val="none"/>
        </w:rPr>
        <w:t>38</w:t>
      </w:r>
      <w:r>
        <w:rPr>
          <w:rFonts w:asciiTheme="minorEastAsia" w:hAnsiTheme="minorEastAsia" w:eastAsiaTheme="minorEastAsia"/>
          <w:color w:val="auto"/>
          <w:sz w:val="28"/>
          <w:szCs w:val="24"/>
          <w:highlight w:val="none"/>
        </w:rPr>
        <w:fldChar w:fldCharType="end"/>
      </w:r>
      <w:r>
        <w:rPr>
          <w:rFonts w:asciiTheme="minorEastAsia" w:hAnsiTheme="minorEastAsia" w:eastAsiaTheme="minorEastAsia"/>
          <w:color w:val="auto"/>
          <w:sz w:val="28"/>
          <w:szCs w:val="24"/>
          <w:highlight w:val="none"/>
        </w:rPr>
        <w:fldChar w:fldCharType="end"/>
      </w:r>
    </w:p>
    <w:p>
      <w:pPr>
        <w:pStyle w:val="13"/>
        <w:tabs>
          <w:tab w:val="right" w:leader="dot" w:pos="9638"/>
          <w:tab w:val="clear" w:pos="9060"/>
        </w:tabs>
        <w:rPr>
          <w:rFonts w:asciiTheme="minorEastAsia" w:hAnsiTheme="minorEastAsia" w:eastAsiaTheme="minorEastAsia"/>
          <w:color w:val="auto"/>
          <w:sz w:val="28"/>
          <w:szCs w:val="24"/>
          <w:highlight w:val="none"/>
        </w:rPr>
      </w:pPr>
      <w:r>
        <w:rPr>
          <w:color w:val="auto"/>
          <w:highlight w:val="none"/>
        </w:rPr>
        <w:fldChar w:fldCharType="begin"/>
      </w:r>
      <w:r>
        <w:rPr>
          <w:color w:val="auto"/>
          <w:highlight w:val="none"/>
        </w:rPr>
        <w:instrText xml:space="preserve"> HYPERLINK \l "_Toc9163" </w:instrText>
      </w:r>
      <w:r>
        <w:rPr>
          <w:color w:val="auto"/>
          <w:highlight w:val="none"/>
        </w:rPr>
        <w:fldChar w:fldCharType="separate"/>
      </w:r>
      <w:r>
        <w:rPr>
          <w:rFonts w:hint="eastAsia" w:cs="宋体" w:asciiTheme="minorEastAsia" w:hAnsiTheme="minorEastAsia" w:eastAsiaTheme="minorEastAsia"/>
          <w:bCs/>
          <w:color w:val="auto"/>
          <w:sz w:val="28"/>
          <w:szCs w:val="52"/>
          <w:highlight w:val="none"/>
        </w:rPr>
        <w:t>第六章 投标文件格式</w:t>
      </w:r>
      <w:r>
        <w:rPr>
          <w:rFonts w:asciiTheme="minorEastAsia" w:hAnsiTheme="minorEastAsia" w:eastAsiaTheme="minorEastAsia"/>
          <w:color w:val="auto"/>
          <w:sz w:val="28"/>
          <w:szCs w:val="24"/>
          <w:highlight w:val="none"/>
        </w:rPr>
        <w:tab/>
      </w:r>
      <w:r>
        <w:rPr>
          <w:rFonts w:asciiTheme="minorEastAsia" w:hAnsiTheme="minorEastAsia" w:eastAsiaTheme="minorEastAsia"/>
          <w:color w:val="auto"/>
          <w:sz w:val="28"/>
          <w:szCs w:val="24"/>
          <w:highlight w:val="none"/>
        </w:rPr>
        <w:fldChar w:fldCharType="begin"/>
      </w:r>
      <w:r>
        <w:rPr>
          <w:rFonts w:asciiTheme="minorEastAsia" w:hAnsiTheme="minorEastAsia" w:eastAsiaTheme="minorEastAsia"/>
          <w:color w:val="auto"/>
          <w:sz w:val="28"/>
          <w:szCs w:val="24"/>
          <w:highlight w:val="none"/>
        </w:rPr>
        <w:instrText xml:space="preserve"> PAGEREF _Toc9163 \h </w:instrText>
      </w:r>
      <w:r>
        <w:rPr>
          <w:rFonts w:asciiTheme="minorEastAsia" w:hAnsiTheme="minorEastAsia" w:eastAsiaTheme="minorEastAsia"/>
          <w:color w:val="auto"/>
          <w:sz w:val="28"/>
          <w:szCs w:val="24"/>
          <w:highlight w:val="none"/>
        </w:rPr>
        <w:fldChar w:fldCharType="separate"/>
      </w:r>
      <w:r>
        <w:rPr>
          <w:rFonts w:asciiTheme="minorEastAsia" w:hAnsiTheme="minorEastAsia" w:eastAsiaTheme="minorEastAsia"/>
          <w:color w:val="auto"/>
          <w:sz w:val="28"/>
          <w:szCs w:val="24"/>
          <w:highlight w:val="none"/>
        </w:rPr>
        <w:t>46</w:t>
      </w:r>
      <w:r>
        <w:rPr>
          <w:rFonts w:asciiTheme="minorEastAsia" w:hAnsiTheme="minorEastAsia" w:eastAsiaTheme="minorEastAsia"/>
          <w:color w:val="auto"/>
          <w:sz w:val="28"/>
          <w:szCs w:val="24"/>
          <w:highlight w:val="none"/>
        </w:rPr>
        <w:fldChar w:fldCharType="end"/>
      </w:r>
      <w:r>
        <w:rPr>
          <w:rFonts w:asciiTheme="minorEastAsia" w:hAnsiTheme="minorEastAsia" w:eastAsiaTheme="minorEastAsia"/>
          <w:color w:val="auto"/>
          <w:sz w:val="28"/>
          <w:szCs w:val="24"/>
          <w:highlight w:val="none"/>
        </w:rPr>
        <w:fldChar w:fldCharType="end"/>
      </w:r>
    </w:p>
    <w:p>
      <w:pPr>
        <w:snapToGrid w:val="0"/>
        <w:spacing w:line="480" w:lineRule="auto"/>
        <w:rPr>
          <w:rFonts w:ascii="宋体" w:hAnsi="宋体" w:cs="宋体"/>
          <w:b/>
          <w:color w:val="auto"/>
          <w:sz w:val="21"/>
          <w:szCs w:val="21"/>
          <w:highlight w:val="none"/>
        </w:rPr>
      </w:pPr>
      <w:r>
        <w:rPr>
          <w:rFonts w:hint="eastAsia" w:ascii="宋体" w:hAnsi="宋体" w:cs="宋体"/>
          <w:color w:val="auto"/>
          <w:sz w:val="24"/>
          <w:szCs w:val="36"/>
          <w:highlight w:val="none"/>
        </w:rPr>
        <w:fldChar w:fldCharType="end"/>
      </w:r>
      <w:r>
        <w:rPr>
          <w:rFonts w:hint="eastAsia" w:ascii="宋体" w:hAnsi="宋体" w:cs="宋体"/>
          <w:b/>
          <w:color w:val="auto"/>
          <w:sz w:val="21"/>
          <w:szCs w:val="21"/>
          <w:highlight w:val="none"/>
        </w:rPr>
        <w:t xml:space="preserve"> </w:t>
      </w:r>
    </w:p>
    <w:p>
      <w:pPr>
        <w:snapToGrid w:val="0"/>
        <w:spacing w:line="360" w:lineRule="auto"/>
        <w:rPr>
          <w:rFonts w:ascii="宋体" w:hAnsi="宋体" w:cs="宋体"/>
          <w:b/>
          <w:color w:val="auto"/>
          <w:sz w:val="21"/>
          <w:szCs w:val="21"/>
          <w:highlight w:val="none"/>
        </w:rPr>
      </w:pPr>
    </w:p>
    <w:p>
      <w:pPr>
        <w:snapToGrid w:val="0"/>
        <w:spacing w:line="360" w:lineRule="auto"/>
        <w:rPr>
          <w:rFonts w:ascii="宋体" w:hAnsi="宋体" w:cs="宋体"/>
          <w:b/>
          <w:color w:val="auto"/>
          <w:sz w:val="21"/>
          <w:szCs w:val="21"/>
          <w:highlight w:val="none"/>
        </w:rPr>
      </w:pPr>
    </w:p>
    <w:p>
      <w:pPr>
        <w:snapToGrid w:val="0"/>
        <w:spacing w:line="360" w:lineRule="auto"/>
        <w:rPr>
          <w:rFonts w:ascii="宋体" w:hAnsi="宋体" w:cs="宋体"/>
          <w:b/>
          <w:color w:val="auto"/>
          <w:sz w:val="21"/>
          <w:szCs w:val="21"/>
          <w:highlight w:val="none"/>
        </w:rPr>
      </w:pPr>
    </w:p>
    <w:p>
      <w:pPr>
        <w:snapToGrid w:val="0"/>
        <w:spacing w:line="360" w:lineRule="auto"/>
        <w:rPr>
          <w:rFonts w:ascii="宋体" w:hAnsi="宋体" w:cs="宋体"/>
          <w:b/>
          <w:color w:val="auto"/>
          <w:sz w:val="21"/>
          <w:szCs w:val="21"/>
          <w:highlight w:val="none"/>
        </w:rPr>
      </w:pPr>
    </w:p>
    <w:p>
      <w:pPr>
        <w:snapToGrid w:val="0"/>
        <w:spacing w:line="360" w:lineRule="auto"/>
        <w:rPr>
          <w:rFonts w:ascii="宋体" w:hAnsi="宋体" w:cs="宋体"/>
          <w:b/>
          <w:color w:val="auto"/>
          <w:sz w:val="21"/>
          <w:szCs w:val="21"/>
          <w:highlight w:val="none"/>
        </w:rPr>
      </w:pPr>
    </w:p>
    <w:p>
      <w:pPr>
        <w:snapToGrid w:val="0"/>
        <w:spacing w:line="360" w:lineRule="auto"/>
        <w:rPr>
          <w:rFonts w:ascii="宋体" w:hAnsi="宋体" w:cs="宋体"/>
          <w:b/>
          <w:color w:val="auto"/>
          <w:sz w:val="21"/>
          <w:szCs w:val="21"/>
          <w:highlight w:val="none"/>
        </w:rPr>
      </w:pPr>
    </w:p>
    <w:p>
      <w:pPr>
        <w:snapToGrid w:val="0"/>
        <w:spacing w:line="360" w:lineRule="auto"/>
        <w:rPr>
          <w:rFonts w:ascii="宋体" w:hAnsi="宋体" w:cs="宋体"/>
          <w:b/>
          <w:color w:val="auto"/>
          <w:sz w:val="21"/>
          <w:szCs w:val="21"/>
          <w:highlight w:val="none"/>
        </w:rPr>
      </w:pPr>
    </w:p>
    <w:p>
      <w:pPr>
        <w:snapToGrid w:val="0"/>
        <w:spacing w:line="360" w:lineRule="auto"/>
        <w:rPr>
          <w:rFonts w:ascii="宋体" w:hAnsi="宋体" w:cs="宋体"/>
          <w:b/>
          <w:color w:val="auto"/>
          <w:sz w:val="21"/>
          <w:szCs w:val="21"/>
          <w:highlight w:val="none"/>
        </w:rPr>
      </w:pPr>
    </w:p>
    <w:p>
      <w:pPr>
        <w:snapToGrid w:val="0"/>
        <w:spacing w:line="360" w:lineRule="auto"/>
        <w:rPr>
          <w:rFonts w:ascii="宋体" w:hAnsi="宋体" w:cs="宋体"/>
          <w:b/>
          <w:color w:val="auto"/>
          <w:sz w:val="21"/>
          <w:szCs w:val="21"/>
          <w:highlight w:val="none"/>
        </w:rPr>
      </w:pPr>
    </w:p>
    <w:p>
      <w:pPr>
        <w:snapToGrid w:val="0"/>
        <w:spacing w:line="360" w:lineRule="auto"/>
        <w:rPr>
          <w:rFonts w:ascii="宋体" w:hAnsi="宋体" w:cs="宋体"/>
          <w:b/>
          <w:color w:val="auto"/>
          <w:sz w:val="21"/>
          <w:szCs w:val="21"/>
          <w:highlight w:val="none"/>
        </w:rPr>
      </w:pPr>
    </w:p>
    <w:p>
      <w:pPr>
        <w:snapToGrid w:val="0"/>
        <w:spacing w:line="360" w:lineRule="auto"/>
        <w:rPr>
          <w:rFonts w:ascii="宋体" w:hAnsi="宋体" w:cs="宋体"/>
          <w:b/>
          <w:color w:val="auto"/>
          <w:sz w:val="21"/>
          <w:szCs w:val="21"/>
          <w:highlight w:val="none"/>
        </w:rPr>
      </w:pPr>
    </w:p>
    <w:p>
      <w:pPr>
        <w:snapToGrid w:val="0"/>
        <w:spacing w:line="360" w:lineRule="auto"/>
        <w:rPr>
          <w:rFonts w:ascii="宋体" w:hAnsi="宋体" w:cs="宋体"/>
          <w:b/>
          <w:color w:val="auto"/>
          <w:sz w:val="21"/>
          <w:szCs w:val="21"/>
          <w:highlight w:val="none"/>
        </w:rPr>
      </w:pPr>
    </w:p>
    <w:p>
      <w:pPr>
        <w:snapToGrid w:val="0"/>
        <w:spacing w:line="360" w:lineRule="auto"/>
        <w:rPr>
          <w:rFonts w:ascii="宋体" w:hAnsi="宋体" w:cs="宋体"/>
          <w:b/>
          <w:color w:val="auto"/>
          <w:sz w:val="21"/>
          <w:szCs w:val="21"/>
          <w:highlight w:val="none"/>
        </w:rPr>
      </w:pPr>
    </w:p>
    <w:p>
      <w:pPr>
        <w:snapToGrid w:val="0"/>
        <w:spacing w:line="360" w:lineRule="auto"/>
        <w:rPr>
          <w:rFonts w:ascii="宋体" w:hAnsi="宋体" w:cs="宋体"/>
          <w:b/>
          <w:color w:val="auto"/>
          <w:sz w:val="21"/>
          <w:szCs w:val="21"/>
          <w:highlight w:val="none"/>
        </w:rPr>
      </w:pPr>
    </w:p>
    <w:p>
      <w:pPr>
        <w:snapToGrid w:val="0"/>
        <w:spacing w:line="360" w:lineRule="auto"/>
        <w:rPr>
          <w:rFonts w:ascii="宋体" w:hAnsi="宋体" w:cs="宋体"/>
          <w:b/>
          <w:color w:val="auto"/>
          <w:sz w:val="21"/>
          <w:szCs w:val="21"/>
          <w:highlight w:val="none"/>
        </w:rPr>
      </w:pPr>
    </w:p>
    <w:p>
      <w:pPr>
        <w:snapToGrid w:val="0"/>
        <w:spacing w:line="360" w:lineRule="auto"/>
        <w:rPr>
          <w:rFonts w:ascii="宋体" w:hAnsi="宋体" w:cs="宋体"/>
          <w:b/>
          <w:color w:val="auto"/>
          <w:sz w:val="21"/>
          <w:szCs w:val="21"/>
          <w:highlight w:val="none"/>
        </w:rPr>
      </w:pPr>
    </w:p>
    <w:p>
      <w:pPr>
        <w:snapToGrid w:val="0"/>
        <w:spacing w:line="360" w:lineRule="auto"/>
        <w:rPr>
          <w:rFonts w:ascii="宋体" w:hAnsi="宋体" w:cs="宋体"/>
          <w:b/>
          <w:color w:val="auto"/>
          <w:sz w:val="21"/>
          <w:szCs w:val="21"/>
          <w:highlight w:val="none"/>
        </w:rPr>
      </w:pPr>
    </w:p>
    <w:p>
      <w:pPr>
        <w:snapToGrid w:val="0"/>
        <w:spacing w:line="360" w:lineRule="auto"/>
        <w:rPr>
          <w:rFonts w:ascii="宋体" w:hAnsi="宋体" w:cs="宋体"/>
          <w:b/>
          <w:color w:val="auto"/>
          <w:sz w:val="21"/>
          <w:szCs w:val="21"/>
          <w:highlight w:val="none"/>
        </w:rPr>
      </w:pPr>
    </w:p>
    <w:p>
      <w:pPr>
        <w:snapToGrid w:val="0"/>
        <w:spacing w:line="360" w:lineRule="auto"/>
        <w:rPr>
          <w:rFonts w:ascii="宋体" w:hAnsi="宋体" w:cs="宋体"/>
          <w:b/>
          <w:color w:val="auto"/>
          <w:sz w:val="21"/>
          <w:szCs w:val="21"/>
          <w:highlight w:val="none"/>
        </w:rPr>
      </w:pPr>
    </w:p>
    <w:p>
      <w:pPr>
        <w:snapToGrid w:val="0"/>
        <w:spacing w:line="360" w:lineRule="auto"/>
        <w:rPr>
          <w:rFonts w:ascii="宋体" w:hAnsi="宋体" w:cs="宋体"/>
          <w:b/>
          <w:color w:val="auto"/>
          <w:sz w:val="21"/>
          <w:szCs w:val="21"/>
          <w:highlight w:val="none"/>
        </w:rPr>
      </w:pPr>
    </w:p>
    <w:p>
      <w:pPr>
        <w:snapToGrid w:val="0"/>
        <w:spacing w:line="360" w:lineRule="auto"/>
        <w:rPr>
          <w:rFonts w:ascii="宋体" w:hAnsi="宋体" w:cs="宋体"/>
          <w:b/>
          <w:color w:val="auto"/>
          <w:sz w:val="21"/>
          <w:szCs w:val="21"/>
          <w:highlight w:val="none"/>
        </w:rPr>
      </w:pPr>
    </w:p>
    <w:p>
      <w:pPr>
        <w:snapToGrid w:val="0"/>
        <w:spacing w:line="360" w:lineRule="auto"/>
        <w:jc w:val="center"/>
        <w:outlineLvl w:val="0"/>
        <w:rPr>
          <w:rFonts w:ascii="宋体" w:hAnsi="宋体" w:cs="宋体"/>
          <w:b/>
          <w:bCs/>
          <w:color w:val="auto"/>
          <w:sz w:val="30"/>
          <w:szCs w:val="30"/>
          <w:highlight w:val="none"/>
        </w:rPr>
        <w:sectPr>
          <w:headerReference r:id="rId7" w:type="first"/>
          <w:footerReference r:id="rId9" w:type="first"/>
          <w:headerReference r:id="rId6" w:type="default"/>
          <w:footerReference r:id="rId8" w:type="default"/>
          <w:pgSz w:w="11906" w:h="16838"/>
          <w:pgMar w:top="1355" w:right="1134" w:bottom="1134" w:left="1134" w:header="284" w:footer="725" w:gutter="0"/>
          <w:pgNumType w:fmt="decimal" w:start="1"/>
          <w:cols w:space="720" w:num="1"/>
          <w:titlePg/>
          <w:docGrid w:type="lines" w:linePitch="312" w:charSpace="0"/>
        </w:sectPr>
      </w:pPr>
    </w:p>
    <w:p>
      <w:pPr>
        <w:pStyle w:val="19"/>
        <w:rPr>
          <w:color w:val="auto"/>
          <w:highlight w:val="none"/>
        </w:rPr>
      </w:pPr>
    </w:p>
    <w:p>
      <w:pPr>
        <w:snapToGrid w:val="0"/>
        <w:spacing w:line="360" w:lineRule="auto"/>
        <w:jc w:val="center"/>
        <w:outlineLvl w:val="0"/>
        <w:rPr>
          <w:rFonts w:ascii="宋体" w:hAnsi="宋体" w:cs="宋体"/>
          <w:b/>
          <w:bCs/>
          <w:color w:val="auto"/>
          <w:sz w:val="30"/>
          <w:szCs w:val="30"/>
          <w:highlight w:val="none"/>
        </w:rPr>
      </w:pPr>
    </w:p>
    <w:p>
      <w:pPr>
        <w:snapToGrid w:val="0"/>
        <w:spacing w:line="360" w:lineRule="auto"/>
        <w:jc w:val="center"/>
        <w:outlineLvl w:val="0"/>
        <w:rPr>
          <w:rFonts w:ascii="宋体" w:hAnsi="宋体" w:cs="宋体"/>
          <w:b/>
          <w:bCs/>
          <w:color w:val="auto"/>
          <w:sz w:val="30"/>
          <w:szCs w:val="30"/>
          <w:highlight w:val="none"/>
        </w:rPr>
      </w:pPr>
    </w:p>
    <w:p>
      <w:pPr>
        <w:snapToGrid w:val="0"/>
        <w:spacing w:line="360" w:lineRule="auto"/>
        <w:jc w:val="center"/>
        <w:outlineLvl w:val="0"/>
        <w:rPr>
          <w:rFonts w:ascii="宋体" w:hAnsi="宋体" w:cs="宋体"/>
          <w:b/>
          <w:bCs/>
          <w:color w:val="auto"/>
          <w:sz w:val="30"/>
          <w:szCs w:val="30"/>
          <w:highlight w:val="none"/>
        </w:rPr>
      </w:pPr>
    </w:p>
    <w:p>
      <w:pPr>
        <w:snapToGrid w:val="0"/>
        <w:spacing w:line="360" w:lineRule="auto"/>
        <w:jc w:val="center"/>
        <w:outlineLvl w:val="0"/>
        <w:rPr>
          <w:rFonts w:ascii="宋体" w:hAnsi="宋体" w:cs="宋体"/>
          <w:b/>
          <w:bCs/>
          <w:color w:val="auto"/>
          <w:sz w:val="30"/>
          <w:szCs w:val="30"/>
          <w:highlight w:val="none"/>
        </w:rPr>
      </w:pPr>
    </w:p>
    <w:p>
      <w:pPr>
        <w:snapToGrid w:val="0"/>
        <w:spacing w:line="360" w:lineRule="auto"/>
        <w:jc w:val="center"/>
        <w:outlineLvl w:val="0"/>
        <w:rPr>
          <w:rFonts w:ascii="宋体" w:hAnsi="宋体" w:cs="宋体"/>
          <w:b/>
          <w:bCs/>
          <w:color w:val="auto"/>
          <w:sz w:val="30"/>
          <w:szCs w:val="30"/>
          <w:highlight w:val="none"/>
        </w:rPr>
      </w:pPr>
    </w:p>
    <w:p>
      <w:pPr>
        <w:snapToGrid w:val="0"/>
        <w:spacing w:line="360" w:lineRule="auto"/>
        <w:jc w:val="center"/>
        <w:outlineLvl w:val="0"/>
        <w:rPr>
          <w:rFonts w:ascii="宋体" w:hAnsi="宋体" w:cs="宋体"/>
          <w:b/>
          <w:bCs/>
          <w:color w:val="auto"/>
          <w:sz w:val="30"/>
          <w:szCs w:val="30"/>
          <w:highlight w:val="none"/>
        </w:rPr>
      </w:pPr>
    </w:p>
    <w:p>
      <w:pPr>
        <w:snapToGrid w:val="0"/>
        <w:spacing w:line="360" w:lineRule="auto"/>
        <w:jc w:val="center"/>
        <w:outlineLvl w:val="0"/>
        <w:rPr>
          <w:rFonts w:ascii="宋体" w:hAnsi="宋体" w:cs="宋体"/>
          <w:b/>
          <w:bCs/>
          <w:color w:val="auto"/>
          <w:sz w:val="30"/>
          <w:szCs w:val="30"/>
          <w:highlight w:val="none"/>
        </w:rPr>
      </w:pPr>
    </w:p>
    <w:p>
      <w:pPr>
        <w:snapToGrid w:val="0"/>
        <w:spacing w:line="360" w:lineRule="auto"/>
        <w:jc w:val="center"/>
        <w:outlineLvl w:val="0"/>
        <w:rPr>
          <w:rFonts w:ascii="宋体" w:hAnsi="宋体" w:cs="宋体"/>
          <w:b/>
          <w:bCs/>
          <w:color w:val="auto"/>
          <w:sz w:val="30"/>
          <w:szCs w:val="30"/>
          <w:highlight w:val="none"/>
        </w:rPr>
      </w:pPr>
    </w:p>
    <w:p>
      <w:pPr>
        <w:snapToGrid w:val="0"/>
        <w:spacing w:line="360" w:lineRule="auto"/>
        <w:jc w:val="center"/>
        <w:outlineLvl w:val="0"/>
        <w:rPr>
          <w:rFonts w:ascii="宋体" w:hAnsi="宋体" w:cs="宋体"/>
          <w:b/>
          <w:bCs/>
          <w:color w:val="auto"/>
          <w:sz w:val="30"/>
          <w:szCs w:val="30"/>
          <w:highlight w:val="none"/>
        </w:rPr>
      </w:pPr>
    </w:p>
    <w:p>
      <w:pPr>
        <w:snapToGrid w:val="0"/>
        <w:spacing w:line="360" w:lineRule="auto"/>
        <w:jc w:val="center"/>
        <w:outlineLvl w:val="0"/>
        <w:rPr>
          <w:rFonts w:ascii="宋体" w:hAnsi="宋体" w:cs="宋体"/>
          <w:b/>
          <w:bCs/>
          <w:color w:val="auto"/>
          <w:sz w:val="30"/>
          <w:szCs w:val="30"/>
          <w:highlight w:val="none"/>
        </w:rPr>
      </w:pPr>
    </w:p>
    <w:p>
      <w:pPr>
        <w:snapToGrid w:val="0"/>
        <w:spacing w:line="360" w:lineRule="auto"/>
        <w:jc w:val="center"/>
        <w:outlineLvl w:val="0"/>
        <w:rPr>
          <w:rFonts w:ascii="宋体" w:hAnsi="宋体" w:cs="宋体"/>
          <w:b/>
          <w:bCs/>
          <w:color w:val="auto"/>
          <w:sz w:val="40"/>
          <w:szCs w:val="40"/>
          <w:highlight w:val="none"/>
        </w:rPr>
      </w:pPr>
      <w:bookmarkStart w:id="1" w:name="_Toc25600"/>
      <w:r>
        <w:rPr>
          <w:rFonts w:hint="eastAsia" w:ascii="宋体" w:hAnsi="宋体" w:cs="宋体"/>
          <w:b/>
          <w:bCs/>
          <w:color w:val="auto"/>
          <w:sz w:val="40"/>
          <w:szCs w:val="40"/>
          <w:highlight w:val="none"/>
        </w:rPr>
        <w:t>第一章  投标邀请函</w:t>
      </w:r>
      <w:bookmarkEnd w:id="1"/>
    </w:p>
    <w:p>
      <w:pPr>
        <w:pStyle w:val="19"/>
        <w:jc w:val="center"/>
        <w:rPr>
          <w:color w:val="auto"/>
          <w:highlight w:val="none"/>
        </w:rPr>
        <w:sectPr>
          <w:footerReference r:id="rId11" w:type="first"/>
          <w:footerReference r:id="rId10" w:type="default"/>
          <w:pgSz w:w="11906" w:h="16838"/>
          <w:pgMar w:top="1527" w:right="1134" w:bottom="1134" w:left="1134" w:header="567" w:footer="725" w:gutter="0"/>
          <w:pgNumType w:fmt="decimal"/>
          <w:cols w:space="720" w:num="1"/>
          <w:titlePg/>
          <w:docGrid w:type="lines" w:linePitch="312" w:charSpace="0"/>
        </w:sectPr>
      </w:pPr>
    </w:p>
    <w:p>
      <w:pPr>
        <w:pStyle w:val="19"/>
        <w:ind w:firstLine="0"/>
        <w:jc w:val="center"/>
        <w:rPr>
          <w:b/>
          <w:bCs/>
          <w:color w:val="auto"/>
          <w:sz w:val="36"/>
          <w:szCs w:val="36"/>
          <w:highlight w:val="none"/>
        </w:rPr>
      </w:pPr>
      <w:bookmarkStart w:id="19" w:name="_GoBack"/>
      <w:r>
        <w:rPr>
          <w:b/>
          <w:bCs/>
          <w:color w:val="auto"/>
          <w:sz w:val="36"/>
          <w:szCs w:val="36"/>
          <w:highlight w:val="none"/>
        </w:rPr>
        <w:t>投标邀请</w:t>
      </w:r>
      <w:r>
        <w:rPr>
          <w:rFonts w:hint="eastAsia"/>
          <w:b/>
          <w:bCs/>
          <w:color w:val="auto"/>
          <w:sz w:val="36"/>
          <w:szCs w:val="36"/>
          <w:highlight w:val="none"/>
        </w:rPr>
        <w:t>函</w:t>
      </w:r>
    </w:p>
    <w:p>
      <w:pPr>
        <w:pStyle w:val="19"/>
        <w:ind w:firstLine="0"/>
        <w:rPr>
          <w:rFonts w:ascii="宋体" w:hAnsi="宋体" w:cs="宋体"/>
          <w:color w:val="auto"/>
          <w:sz w:val="21"/>
          <w:szCs w:val="21"/>
          <w:highlight w:val="none"/>
        </w:rPr>
      </w:pPr>
      <w:r>
        <w:rPr>
          <w:rFonts w:hint="eastAsia" w:ascii="宋体" w:hAnsi="宋体" w:cs="宋体"/>
          <w:color w:val="auto"/>
          <w:sz w:val="21"/>
          <w:szCs w:val="21"/>
          <w:highlight w:val="none"/>
        </w:rPr>
        <w:t>各潜在投标人：</w:t>
      </w:r>
    </w:p>
    <w:p>
      <w:pPr>
        <w:pStyle w:val="19"/>
        <w:rPr>
          <w:rFonts w:ascii="宋体" w:hAnsi="宋体" w:cs="宋体"/>
          <w:color w:val="auto"/>
          <w:sz w:val="21"/>
          <w:szCs w:val="21"/>
          <w:highlight w:val="none"/>
        </w:rPr>
      </w:pPr>
      <w:r>
        <w:rPr>
          <w:rFonts w:hint="eastAsia" w:ascii="宋体" w:hAnsi="宋体" w:cs="宋体"/>
          <w:color w:val="auto"/>
          <w:sz w:val="21"/>
          <w:szCs w:val="21"/>
          <w:highlight w:val="none"/>
        </w:rPr>
        <w:t>方禾（广东）项目管理有限公司（以下简称“招标代理机构”）受中山市火炬科学技术学校（以下简称“招标人”）的委托，对中山市火炬科学技术学校小卖部承包经营项目（项目编号：FH2022CG0113）进行公开招标，欢迎符合资格条件的投标人/供应商参与投标，有关事项如下：</w:t>
      </w:r>
    </w:p>
    <w:p>
      <w:pPr>
        <w:pStyle w:val="19"/>
        <w:numPr>
          <w:ilvl w:val="0"/>
          <w:numId w:val="4"/>
        </w:numPr>
        <w:ind w:left="349" w:hanging="348" w:hangingChars="166"/>
        <w:rPr>
          <w:rFonts w:ascii="宋体" w:hAnsi="宋体" w:cs="宋体"/>
          <w:color w:val="auto"/>
          <w:sz w:val="21"/>
          <w:szCs w:val="21"/>
          <w:highlight w:val="none"/>
        </w:rPr>
      </w:pPr>
      <w:r>
        <w:rPr>
          <w:rFonts w:hint="eastAsia" w:ascii="宋体" w:hAnsi="宋体" w:cs="宋体"/>
          <w:color w:val="auto"/>
          <w:sz w:val="21"/>
          <w:szCs w:val="21"/>
          <w:highlight w:val="none"/>
        </w:rPr>
        <w:t>项目编号：FH2022CG0113</w:t>
      </w:r>
    </w:p>
    <w:p>
      <w:pPr>
        <w:pStyle w:val="19"/>
        <w:numPr>
          <w:ilvl w:val="0"/>
          <w:numId w:val="4"/>
        </w:numPr>
        <w:ind w:left="349" w:hanging="348" w:hangingChars="166"/>
        <w:rPr>
          <w:rFonts w:ascii="宋体" w:hAnsi="宋体" w:cs="宋体"/>
          <w:color w:val="auto"/>
          <w:sz w:val="21"/>
          <w:szCs w:val="21"/>
          <w:highlight w:val="none"/>
        </w:rPr>
      </w:pPr>
      <w:r>
        <w:rPr>
          <w:rFonts w:hint="eastAsia" w:ascii="宋体" w:hAnsi="宋体" w:cs="宋体"/>
          <w:color w:val="auto"/>
          <w:sz w:val="21"/>
          <w:szCs w:val="21"/>
          <w:highlight w:val="none"/>
        </w:rPr>
        <w:t>项目名称：中山市火炬科学技术学校小卖部承包经营项目</w:t>
      </w:r>
    </w:p>
    <w:p>
      <w:pPr>
        <w:pStyle w:val="19"/>
        <w:numPr>
          <w:ilvl w:val="0"/>
          <w:numId w:val="4"/>
        </w:numPr>
        <w:ind w:left="349" w:hanging="348" w:hangingChars="166"/>
        <w:rPr>
          <w:rFonts w:ascii="宋体" w:hAnsi="宋体" w:cs="宋体"/>
          <w:color w:val="auto"/>
          <w:sz w:val="21"/>
          <w:szCs w:val="21"/>
          <w:highlight w:val="none"/>
        </w:rPr>
      </w:pPr>
      <w:r>
        <w:rPr>
          <w:rFonts w:hint="eastAsia" w:ascii="宋体" w:hAnsi="宋体" w:cs="宋体"/>
          <w:color w:val="auto"/>
          <w:sz w:val="21"/>
          <w:szCs w:val="21"/>
          <w:highlight w:val="none"/>
        </w:rPr>
        <w:t>资金来源及预算</w:t>
      </w:r>
    </w:p>
    <w:p>
      <w:pPr>
        <w:pStyle w:val="19"/>
        <w:numPr>
          <w:ilvl w:val="0"/>
          <w:numId w:val="5"/>
        </w:numPr>
        <w:tabs>
          <w:tab w:val="left" w:pos="400"/>
        </w:tabs>
        <w:ind w:left="400" w:hanging="225"/>
        <w:rPr>
          <w:rFonts w:ascii="宋体" w:hAnsi="宋体" w:cs="宋体"/>
          <w:color w:val="auto"/>
          <w:sz w:val="21"/>
          <w:szCs w:val="21"/>
          <w:highlight w:val="none"/>
        </w:rPr>
      </w:pPr>
      <w:r>
        <w:rPr>
          <w:rFonts w:hint="eastAsia" w:ascii="宋体" w:hAnsi="宋体" w:cs="宋体"/>
          <w:color w:val="auto"/>
          <w:sz w:val="21"/>
          <w:szCs w:val="21"/>
          <w:highlight w:val="none"/>
        </w:rPr>
        <w:t>项目总预算金额：无。</w:t>
      </w:r>
    </w:p>
    <w:p>
      <w:pPr>
        <w:pStyle w:val="19"/>
        <w:numPr>
          <w:ilvl w:val="0"/>
          <w:numId w:val="5"/>
        </w:numPr>
        <w:tabs>
          <w:tab w:val="left" w:pos="400"/>
        </w:tabs>
        <w:ind w:left="400" w:hanging="225"/>
        <w:rPr>
          <w:rFonts w:ascii="宋体" w:hAnsi="宋体" w:cs="宋体"/>
          <w:color w:val="auto"/>
          <w:sz w:val="21"/>
          <w:szCs w:val="21"/>
          <w:highlight w:val="none"/>
        </w:rPr>
      </w:pPr>
      <w:r>
        <w:rPr>
          <w:rFonts w:hint="eastAsia" w:ascii="宋体" w:hAnsi="宋体" w:cs="宋体"/>
          <w:color w:val="auto"/>
          <w:sz w:val="21"/>
          <w:szCs w:val="21"/>
          <w:highlight w:val="none"/>
        </w:rPr>
        <w:t>资金来源：自筹资金。</w:t>
      </w:r>
    </w:p>
    <w:p>
      <w:pPr>
        <w:pStyle w:val="19"/>
        <w:numPr>
          <w:ilvl w:val="0"/>
          <w:numId w:val="4"/>
        </w:numPr>
        <w:ind w:left="349" w:hanging="348" w:hangingChars="166"/>
        <w:rPr>
          <w:rFonts w:ascii="宋体" w:hAnsi="宋体" w:cs="宋体"/>
          <w:color w:val="auto"/>
          <w:sz w:val="21"/>
          <w:szCs w:val="21"/>
          <w:highlight w:val="none"/>
        </w:rPr>
      </w:pPr>
      <w:r>
        <w:rPr>
          <w:rFonts w:hint="eastAsia" w:ascii="宋体" w:hAnsi="宋体" w:cs="宋体"/>
          <w:color w:val="auto"/>
          <w:sz w:val="21"/>
          <w:szCs w:val="21"/>
          <w:highlight w:val="none"/>
        </w:rPr>
        <w:t>项目内容：</w:t>
      </w:r>
    </w:p>
    <w:p>
      <w:pPr>
        <w:pStyle w:val="19"/>
        <w:numPr>
          <w:ilvl w:val="0"/>
          <w:numId w:val="6"/>
        </w:numPr>
        <w:ind w:hanging="225"/>
        <w:rPr>
          <w:rFonts w:ascii="宋体" w:hAnsi="宋体" w:cs="宋体"/>
          <w:color w:val="auto"/>
          <w:sz w:val="21"/>
          <w:szCs w:val="21"/>
          <w:highlight w:val="none"/>
        </w:rPr>
      </w:pPr>
      <w:r>
        <w:rPr>
          <w:rFonts w:hint="eastAsia" w:ascii="宋体" w:hAnsi="宋体" w:cs="宋体"/>
          <w:color w:val="auto"/>
          <w:sz w:val="21"/>
          <w:szCs w:val="21"/>
          <w:highlight w:val="none"/>
        </w:rPr>
        <w:t>详见招标文件中的“用户需求书”。投标人应对项目内全部内容进行投标，不允许只对项目内部分内容进行投标。</w:t>
      </w:r>
    </w:p>
    <w:p>
      <w:pPr>
        <w:pStyle w:val="19"/>
        <w:numPr>
          <w:ilvl w:val="0"/>
          <w:numId w:val="6"/>
        </w:numPr>
        <w:ind w:hanging="225"/>
        <w:rPr>
          <w:rFonts w:ascii="宋体" w:hAnsi="宋体" w:cs="宋体"/>
          <w:color w:val="auto"/>
          <w:sz w:val="21"/>
          <w:szCs w:val="21"/>
          <w:highlight w:val="none"/>
        </w:rPr>
      </w:pPr>
      <w:r>
        <w:rPr>
          <w:rFonts w:hint="eastAsia" w:ascii="宋体" w:hAnsi="宋体" w:cs="宋体"/>
          <w:color w:val="auto"/>
          <w:sz w:val="21"/>
          <w:szCs w:val="21"/>
          <w:highlight w:val="none"/>
        </w:rPr>
        <w:t>服务期限：签订合同之日起三年，一年一签，具体起止时间以合同签订为准。</w:t>
      </w:r>
    </w:p>
    <w:p>
      <w:pPr>
        <w:pStyle w:val="19"/>
        <w:numPr>
          <w:ilvl w:val="0"/>
          <w:numId w:val="6"/>
        </w:numPr>
        <w:ind w:hanging="225"/>
        <w:rPr>
          <w:rFonts w:ascii="宋体" w:hAnsi="宋体" w:cs="宋体"/>
          <w:color w:val="auto"/>
          <w:sz w:val="21"/>
          <w:szCs w:val="21"/>
          <w:highlight w:val="none"/>
        </w:rPr>
      </w:pPr>
      <w:r>
        <w:rPr>
          <w:rFonts w:hint="eastAsia" w:ascii="宋体" w:hAnsi="宋体" w:cs="宋体"/>
          <w:color w:val="auto"/>
          <w:sz w:val="21"/>
          <w:szCs w:val="21"/>
          <w:highlight w:val="none"/>
        </w:rPr>
        <w:t>本项目不允许有备选方案，否则将被视为无效投标。</w:t>
      </w:r>
    </w:p>
    <w:p>
      <w:pPr>
        <w:pStyle w:val="19"/>
        <w:numPr>
          <w:ilvl w:val="0"/>
          <w:numId w:val="4"/>
        </w:numPr>
        <w:ind w:left="349" w:hanging="348" w:hangingChars="166"/>
        <w:rPr>
          <w:rFonts w:ascii="宋体" w:hAnsi="宋体" w:cs="宋体"/>
          <w:color w:val="auto"/>
          <w:sz w:val="21"/>
          <w:szCs w:val="21"/>
          <w:highlight w:val="none"/>
        </w:rPr>
      </w:pPr>
      <w:r>
        <w:rPr>
          <w:rFonts w:hint="eastAsia" w:ascii="宋体" w:hAnsi="宋体" w:cs="宋体"/>
          <w:color w:val="auto"/>
          <w:sz w:val="21"/>
          <w:szCs w:val="21"/>
          <w:highlight w:val="none"/>
        </w:rPr>
        <w:t>合格投标人资格要求：</w:t>
      </w:r>
    </w:p>
    <w:p>
      <w:pPr>
        <w:pStyle w:val="19"/>
        <w:numPr>
          <w:ilvl w:val="0"/>
          <w:numId w:val="7"/>
        </w:numPr>
        <w:ind w:hanging="225"/>
        <w:rPr>
          <w:rFonts w:ascii="宋体" w:hAnsi="宋体" w:cs="宋体"/>
          <w:color w:val="auto"/>
          <w:sz w:val="21"/>
          <w:szCs w:val="21"/>
          <w:highlight w:val="none"/>
        </w:rPr>
      </w:pPr>
      <w:r>
        <w:rPr>
          <w:rFonts w:hint="eastAsia" w:ascii="宋体" w:hAnsi="宋体" w:cs="宋体"/>
          <w:color w:val="auto"/>
          <w:sz w:val="21"/>
          <w:szCs w:val="21"/>
          <w:highlight w:val="none"/>
        </w:rPr>
        <w:t>投标人为具有独立承担民事责任能力的在中华人民共和国境内注册的法人，且独立于招标人和招标代理机构；（提供有效营业执照或事业单位法人证等相关证明复印件。）</w:t>
      </w:r>
    </w:p>
    <w:p>
      <w:pPr>
        <w:pStyle w:val="19"/>
        <w:numPr>
          <w:ilvl w:val="0"/>
          <w:numId w:val="7"/>
        </w:numPr>
        <w:ind w:hanging="225"/>
        <w:rPr>
          <w:rFonts w:ascii="宋体" w:hAnsi="宋体" w:cs="宋体"/>
          <w:color w:val="auto"/>
          <w:sz w:val="21"/>
          <w:szCs w:val="21"/>
          <w:highlight w:val="none"/>
        </w:rPr>
      </w:pPr>
      <w:r>
        <w:rPr>
          <w:rFonts w:hint="eastAsia" w:ascii="宋体" w:hAnsi="宋体" w:cs="宋体"/>
          <w:color w:val="auto"/>
          <w:sz w:val="21"/>
          <w:szCs w:val="21"/>
          <w:highlight w:val="none"/>
        </w:rPr>
        <w:t>投标人具有有效的《食品药品经营许可证》或《食品经营许可证》或《食品流通许可证》。（提供证书复印件并加盖公章。)</w:t>
      </w:r>
    </w:p>
    <w:p>
      <w:pPr>
        <w:pStyle w:val="19"/>
        <w:numPr>
          <w:ilvl w:val="0"/>
          <w:numId w:val="7"/>
        </w:numPr>
        <w:ind w:hanging="225"/>
        <w:rPr>
          <w:rFonts w:ascii="宋体" w:hAnsi="宋体" w:cs="宋体"/>
          <w:color w:val="auto"/>
          <w:sz w:val="21"/>
          <w:szCs w:val="21"/>
          <w:highlight w:val="none"/>
        </w:rPr>
      </w:pPr>
      <w:r>
        <w:rPr>
          <w:rFonts w:ascii="宋体" w:hAnsi="宋体" w:cs="宋体"/>
          <w:color w:val="auto"/>
          <w:sz w:val="21"/>
          <w:szCs w:val="21"/>
          <w:highlight w:val="none"/>
        </w:rPr>
        <w:t>单位负责人为同一人或者存在控股、管理关系的不同单位，不得参加同一标段投标或者未划分标段的同一招标项目投标。（按投标文件格式提供</w:t>
      </w:r>
      <w:r>
        <w:rPr>
          <w:rFonts w:hint="eastAsia" w:ascii="宋体" w:hAnsi="宋体" w:cs="宋体"/>
          <w:color w:val="auto"/>
          <w:sz w:val="21"/>
          <w:szCs w:val="21"/>
          <w:highlight w:val="none"/>
        </w:rPr>
        <w:t>资格声明函</w:t>
      </w:r>
      <w:r>
        <w:rPr>
          <w:rFonts w:ascii="宋体" w:hAnsi="宋体" w:cs="宋体"/>
          <w:color w:val="auto"/>
          <w:sz w:val="21"/>
          <w:szCs w:val="21"/>
          <w:highlight w:val="none"/>
        </w:rPr>
        <w:t>）</w:t>
      </w:r>
    </w:p>
    <w:p>
      <w:pPr>
        <w:pStyle w:val="19"/>
        <w:numPr>
          <w:ilvl w:val="0"/>
          <w:numId w:val="7"/>
        </w:numPr>
        <w:ind w:hanging="225"/>
        <w:rPr>
          <w:rFonts w:ascii="宋体" w:hAnsi="宋体" w:cs="宋体"/>
          <w:color w:val="auto"/>
          <w:sz w:val="21"/>
          <w:szCs w:val="21"/>
          <w:highlight w:val="none"/>
        </w:rPr>
      </w:pPr>
      <w:r>
        <w:rPr>
          <w:rFonts w:hint="eastAsia" w:ascii="宋体" w:hAnsi="宋体" w:cs="宋体"/>
          <w:color w:val="auto"/>
          <w:sz w:val="21"/>
          <w:szCs w:val="21"/>
          <w:highlight w:val="none"/>
        </w:rPr>
        <w:t>本项目不接受联合体投标；</w:t>
      </w:r>
    </w:p>
    <w:p>
      <w:pPr>
        <w:pStyle w:val="19"/>
        <w:numPr>
          <w:ilvl w:val="0"/>
          <w:numId w:val="7"/>
        </w:numPr>
        <w:ind w:hanging="225"/>
        <w:rPr>
          <w:rFonts w:ascii="宋体" w:hAnsi="宋体" w:cs="宋体"/>
          <w:color w:val="auto"/>
          <w:sz w:val="21"/>
          <w:szCs w:val="21"/>
          <w:highlight w:val="none"/>
        </w:rPr>
      </w:pPr>
      <w:r>
        <w:rPr>
          <w:rFonts w:hint="eastAsia" w:ascii="宋体" w:hAnsi="宋体" w:cs="宋体"/>
          <w:color w:val="auto"/>
          <w:sz w:val="21"/>
          <w:szCs w:val="21"/>
          <w:highlight w:val="none"/>
        </w:rPr>
        <w:t>投标人未被列入“信用中国”网站(www.creditchina.gov.cn)“失信被执行人或重大税收违法案件当事人名单”记录名单。【说明：①以招标代理机构于投标截止时间在“信用中国”网站（www.creditchina.gov.cn）查询结果为准。②在上述网站查询结果显示“很抱歉，没有找到您搜索的企业”或“共0条记录”，视为没有上述不良信用信息记录。③招标代理机构同时对信用信息查询记录和证据截图或下载存档。④如失信记录已失效，投标人须提供相关证明文件】</w:t>
      </w:r>
    </w:p>
    <w:p>
      <w:pPr>
        <w:pStyle w:val="19"/>
        <w:numPr>
          <w:ilvl w:val="0"/>
          <w:numId w:val="4"/>
        </w:numPr>
        <w:ind w:left="349" w:hanging="348" w:hangingChars="166"/>
        <w:rPr>
          <w:rFonts w:hAnsi="宋体"/>
          <w:color w:val="auto"/>
          <w:sz w:val="21"/>
          <w:szCs w:val="21"/>
          <w:highlight w:val="none"/>
        </w:rPr>
      </w:pPr>
      <w:r>
        <w:rPr>
          <w:rFonts w:hint="eastAsia" w:ascii="宋体" w:hAnsi="宋体" w:cs="宋体"/>
          <w:color w:val="auto"/>
          <w:sz w:val="21"/>
          <w:szCs w:val="21"/>
          <w:highlight w:val="none"/>
        </w:rPr>
        <w:t>招标文件的获取：各潜在投标人/供应商应当在</w:t>
      </w:r>
      <w:r>
        <w:rPr>
          <w:rFonts w:hint="eastAsia" w:ascii="宋体" w:hAnsi="宋体" w:cs="宋体"/>
          <w:color w:val="0000FF"/>
          <w:sz w:val="21"/>
          <w:szCs w:val="21"/>
          <w:highlight w:val="none"/>
          <w:lang w:val="en-US" w:eastAsia="zh-CN"/>
        </w:rPr>
        <w:t>2022</w:t>
      </w:r>
      <w:r>
        <w:rPr>
          <w:rFonts w:hint="eastAsia" w:ascii="宋体" w:hAnsi="宋体" w:cs="宋体"/>
          <w:color w:val="0000FF"/>
          <w:sz w:val="21"/>
          <w:szCs w:val="21"/>
          <w:highlight w:val="none"/>
        </w:rPr>
        <w:t>年</w:t>
      </w:r>
      <w:r>
        <w:rPr>
          <w:rFonts w:hint="eastAsia" w:ascii="宋体" w:hAnsi="宋体" w:cs="宋体"/>
          <w:color w:val="0000FF"/>
          <w:sz w:val="21"/>
          <w:szCs w:val="21"/>
          <w:highlight w:val="none"/>
          <w:lang w:val="en-US" w:eastAsia="zh-CN"/>
        </w:rPr>
        <w:t>1</w:t>
      </w:r>
      <w:r>
        <w:rPr>
          <w:rFonts w:hint="eastAsia" w:ascii="宋体" w:hAnsi="宋体" w:cs="宋体"/>
          <w:color w:val="0000FF"/>
          <w:sz w:val="21"/>
          <w:szCs w:val="21"/>
          <w:highlight w:val="none"/>
        </w:rPr>
        <w:t>月</w:t>
      </w:r>
      <w:r>
        <w:rPr>
          <w:rFonts w:hint="eastAsia" w:ascii="宋体" w:hAnsi="宋体" w:cs="宋体"/>
          <w:color w:val="0000FF"/>
          <w:sz w:val="21"/>
          <w:szCs w:val="21"/>
          <w:highlight w:val="none"/>
          <w:lang w:val="en-US" w:eastAsia="zh-CN"/>
        </w:rPr>
        <w:t>30</w:t>
      </w:r>
      <w:r>
        <w:rPr>
          <w:rFonts w:hint="eastAsia" w:ascii="宋体" w:hAnsi="宋体" w:cs="宋体"/>
          <w:color w:val="0000FF"/>
          <w:sz w:val="21"/>
          <w:szCs w:val="21"/>
          <w:highlight w:val="none"/>
        </w:rPr>
        <w:t>日至</w:t>
      </w:r>
      <w:r>
        <w:rPr>
          <w:rFonts w:hint="eastAsia" w:ascii="宋体" w:hAnsi="宋体" w:cs="宋体"/>
          <w:color w:val="0000FF"/>
          <w:sz w:val="21"/>
          <w:szCs w:val="21"/>
          <w:highlight w:val="none"/>
          <w:lang w:val="en-US" w:eastAsia="zh-CN"/>
        </w:rPr>
        <w:t>2022</w:t>
      </w:r>
      <w:r>
        <w:rPr>
          <w:rFonts w:hint="eastAsia" w:ascii="宋体" w:hAnsi="宋体" w:cs="宋体"/>
          <w:color w:val="0000FF"/>
          <w:sz w:val="21"/>
          <w:szCs w:val="21"/>
          <w:highlight w:val="none"/>
        </w:rPr>
        <w:t>年</w:t>
      </w:r>
      <w:r>
        <w:rPr>
          <w:rFonts w:hint="eastAsia" w:ascii="宋体" w:hAnsi="宋体" w:cs="宋体"/>
          <w:color w:val="0000FF"/>
          <w:sz w:val="21"/>
          <w:szCs w:val="21"/>
          <w:highlight w:val="none"/>
          <w:lang w:val="en-US" w:eastAsia="zh-CN"/>
        </w:rPr>
        <w:t>2月11</w:t>
      </w:r>
      <w:r>
        <w:rPr>
          <w:rFonts w:hint="eastAsia" w:ascii="宋体" w:hAnsi="宋体" w:cs="宋体"/>
          <w:color w:val="0000FF"/>
          <w:sz w:val="21"/>
          <w:szCs w:val="21"/>
          <w:highlight w:val="none"/>
        </w:rPr>
        <w:t>日</w:t>
      </w:r>
      <w:r>
        <w:rPr>
          <w:rFonts w:hint="eastAsia" w:ascii="宋体" w:hAnsi="宋体" w:cs="宋体"/>
          <w:color w:val="0000FF"/>
          <w:sz w:val="21"/>
          <w:szCs w:val="21"/>
          <w:highlight w:val="none"/>
          <w:lang w:val="en-US" w:eastAsia="zh-CN"/>
        </w:rPr>
        <w:t>17:30分</w:t>
      </w:r>
      <w:r>
        <w:rPr>
          <w:rFonts w:hint="eastAsia" w:ascii="宋体" w:hAnsi="宋体" w:cs="宋体"/>
          <w:color w:val="auto"/>
          <w:sz w:val="21"/>
          <w:szCs w:val="21"/>
          <w:highlight w:val="none"/>
        </w:rPr>
        <w:t>内登录中山市公共资源交易平台-电子</w:t>
      </w:r>
      <w:r>
        <w:rPr>
          <w:rFonts w:hint="eastAsia" w:hAnsi="宋体"/>
          <w:color w:val="auto"/>
          <w:sz w:val="21"/>
          <w:szCs w:val="21"/>
          <w:highlight w:val="none"/>
        </w:rPr>
        <w:t>交易系统-综合交易系统获取招标/采购文件。</w:t>
      </w:r>
    </w:p>
    <w:p>
      <w:pPr>
        <w:spacing w:line="360" w:lineRule="auto"/>
        <w:ind w:left="210" w:hanging="210" w:hangingChars="100"/>
        <w:jc w:val="both"/>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rPr>
        <w:t>1.项目采用系统获取招标/采购文件的方式。请各潜在</w:t>
      </w:r>
      <w:bookmarkStart w:id="2" w:name="OLE_LINK34"/>
      <w:r>
        <w:rPr>
          <w:rFonts w:hint="eastAsia" w:asciiTheme="minorEastAsia" w:hAnsiTheme="minorEastAsia" w:eastAsiaTheme="minorEastAsia"/>
          <w:color w:val="auto"/>
          <w:sz w:val="21"/>
          <w:szCs w:val="21"/>
          <w:highlight w:val="none"/>
        </w:rPr>
        <w:t>供应商/投标人</w:t>
      </w:r>
      <w:bookmarkEnd w:id="2"/>
      <w:r>
        <w:rPr>
          <w:rFonts w:hint="eastAsia" w:asciiTheme="minorEastAsia" w:hAnsiTheme="minorEastAsia" w:eastAsiaTheme="minorEastAsia"/>
          <w:color w:val="auto"/>
          <w:sz w:val="21"/>
          <w:szCs w:val="21"/>
          <w:highlight w:val="none"/>
        </w:rPr>
        <w:t>登录中山市公共资源交易中心新门户网站，按照《中山市公共资源交易系统用户自主注册办理指引》完成注册登记工作，并办理数字证书，网址详见：</w:t>
      </w:r>
      <w:r>
        <w:rPr>
          <w:rFonts w:cs="黑体" w:asciiTheme="minorEastAsia" w:hAnsiTheme="minorEastAsia" w:eastAsiaTheme="minorEastAsia"/>
          <w:color w:val="auto"/>
          <w:sz w:val="21"/>
          <w:szCs w:val="21"/>
          <w:highlight w:val="none"/>
        </w:rPr>
        <w:t>中山市公共资源交易系统用户自主注册办理指引（更新至2021-11-30）</w:t>
      </w:r>
      <w:r>
        <w:rPr>
          <w:rFonts w:hint="eastAsia" w:cs="黑体"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u w:val="single"/>
        </w:rPr>
        <w:t>https://ggzyjy.zs.gov.cn/artical/83/214642</w:t>
      </w:r>
    </w:p>
    <w:p>
      <w:pPr>
        <w:spacing w:line="360"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《中山市公共资源交易中心数字证书办理指引》：</w:t>
      </w:r>
    </w:p>
    <w:p>
      <w:pPr>
        <w:spacing w:line="360" w:lineRule="auto"/>
        <w:ind w:left="210" w:leftChars="105"/>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https://ggzyjy.zs.gov.cn/artical/85/213414 咨询电话，综合收件窗口：0760-89817167、0760-88331782</w:t>
      </w:r>
    </w:p>
    <w:p>
      <w:pPr>
        <w:spacing w:line="360" w:lineRule="auto"/>
        <w:ind w:left="106" w:leftChars="53" w:firstLine="105" w:firstLineChars="50"/>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使用粤商通移动CA进行用户注册或新增绑定的操作详见中山市公共资源交易网（https://ggzyjy.zs.gov.cn/）“服务指南—资料下载”—《中山市公共资源交易系统企业（个人）用户使用手册》。</w:t>
      </w:r>
    </w:p>
    <w:p>
      <w:pPr>
        <w:pStyle w:val="19"/>
        <w:ind w:left="210" w:hanging="210" w:hangingChars="100"/>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已注册登记的投标人/供应商应当在招标公告规定时间内，使用企业数字证书或粤商通移动CA登录“中山市公共资源交易平台-电子交易系统-综合交易系统”完成获取招标/采购文件，上传投标文件和确认投标等操作。具体请按综合交易招标采购管理-投标企业操作手册2021.9完成获取有效的招标/采购文件的工作。</w:t>
      </w:r>
    </w:p>
    <w:p>
      <w:pPr>
        <w:pStyle w:val="19"/>
        <w:numPr>
          <w:ilvl w:val="0"/>
          <w:numId w:val="4"/>
        </w:numPr>
        <w:ind w:left="349" w:hanging="348" w:hangingChars="166"/>
        <w:rPr>
          <w:rFonts w:ascii="宋体" w:hAnsi="宋体" w:cs="宋体"/>
          <w:color w:val="auto"/>
          <w:sz w:val="21"/>
          <w:szCs w:val="21"/>
          <w:highlight w:val="none"/>
        </w:rPr>
      </w:pPr>
      <w:r>
        <w:rPr>
          <w:rFonts w:hint="eastAsia" w:ascii="宋体" w:hAnsi="宋体" w:cs="宋体"/>
          <w:color w:val="auto"/>
          <w:sz w:val="21"/>
          <w:szCs w:val="21"/>
          <w:highlight w:val="none"/>
        </w:rPr>
        <w:t>答疑时间：投标人如有疑问，请于</w:t>
      </w:r>
      <w:r>
        <w:rPr>
          <w:rFonts w:hint="eastAsia" w:ascii="宋体" w:hAnsi="宋体" w:cs="宋体"/>
          <w:color w:val="0000FF"/>
          <w:sz w:val="21"/>
          <w:szCs w:val="21"/>
          <w:highlight w:val="none"/>
        </w:rPr>
        <w:t>2022年</w:t>
      </w:r>
      <w:r>
        <w:rPr>
          <w:rFonts w:hint="eastAsia" w:ascii="宋体" w:hAnsi="宋体" w:cs="宋体"/>
          <w:color w:val="0000FF"/>
          <w:sz w:val="21"/>
          <w:szCs w:val="21"/>
          <w:highlight w:val="none"/>
          <w:lang w:val="en-US" w:eastAsia="zh-CN"/>
        </w:rPr>
        <w:t>2</w:t>
      </w:r>
      <w:r>
        <w:rPr>
          <w:rFonts w:hint="eastAsia" w:ascii="宋体" w:hAnsi="宋体" w:cs="宋体"/>
          <w:color w:val="0000FF"/>
          <w:sz w:val="21"/>
          <w:szCs w:val="21"/>
          <w:highlight w:val="none"/>
        </w:rPr>
        <w:t>月</w:t>
      </w:r>
      <w:r>
        <w:rPr>
          <w:rFonts w:hint="eastAsia" w:ascii="宋体" w:hAnsi="宋体" w:cs="宋体"/>
          <w:color w:val="0000FF"/>
          <w:sz w:val="21"/>
          <w:szCs w:val="21"/>
          <w:highlight w:val="none"/>
          <w:lang w:val="en-US" w:eastAsia="zh-CN"/>
        </w:rPr>
        <w:t>14</w:t>
      </w:r>
      <w:r>
        <w:rPr>
          <w:rFonts w:hint="eastAsia" w:ascii="宋体" w:hAnsi="宋体" w:cs="宋体"/>
          <w:color w:val="0000FF"/>
          <w:sz w:val="21"/>
          <w:szCs w:val="21"/>
          <w:highlight w:val="none"/>
        </w:rPr>
        <w:t>日1</w:t>
      </w:r>
      <w:r>
        <w:rPr>
          <w:rFonts w:hint="eastAsia" w:ascii="宋体" w:hAnsi="宋体" w:cs="宋体"/>
          <w:color w:val="0000FF"/>
          <w:sz w:val="21"/>
          <w:szCs w:val="21"/>
          <w:highlight w:val="none"/>
          <w:lang w:val="en-US" w:eastAsia="zh-CN"/>
        </w:rPr>
        <w:t>7</w:t>
      </w:r>
      <w:r>
        <w:rPr>
          <w:rFonts w:hint="eastAsia" w:ascii="宋体" w:hAnsi="宋体" w:cs="宋体"/>
          <w:color w:val="0000FF"/>
          <w:sz w:val="21"/>
          <w:szCs w:val="21"/>
          <w:highlight w:val="none"/>
        </w:rPr>
        <w:t>:</w:t>
      </w:r>
      <w:r>
        <w:rPr>
          <w:rFonts w:hint="eastAsia" w:ascii="宋体" w:hAnsi="宋体" w:cs="宋体"/>
          <w:color w:val="0000FF"/>
          <w:sz w:val="21"/>
          <w:szCs w:val="21"/>
          <w:highlight w:val="none"/>
          <w:lang w:val="en-US" w:eastAsia="zh-CN"/>
        </w:rPr>
        <w:t>3</w:t>
      </w:r>
      <w:r>
        <w:rPr>
          <w:rFonts w:hint="eastAsia" w:ascii="宋体" w:hAnsi="宋体" w:cs="宋体"/>
          <w:color w:val="0000FF"/>
          <w:sz w:val="21"/>
          <w:szCs w:val="21"/>
          <w:highlight w:val="none"/>
        </w:rPr>
        <w:t>0</w:t>
      </w:r>
      <w:r>
        <w:rPr>
          <w:rFonts w:hint="eastAsia" w:ascii="宋体" w:hAnsi="宋体" w:cs="宋体"/>
          <w:color w:val="0000FF"/>
          <w:sz w:val="21"/>
          <w:szCs w:val="21"/>
          <w:highlight w:val="none"/>
          <w:lang w:val="en-US" w:eastAsia="zh-CN"/>
        </w:rPr>
        <w:t>分</w:t>
      </w:r>
      <w:r>
        <w:rPr>
          <w:rFonts w:hint="eastAsia" w:ascii="宋体" w:hAnsi="宋体" w:cs="宋体"/>
          <w:color w:val="auto"/>
          <w:sz w:val="21"/>
          <w:szCs w:val="21"/>
          <w:highlight w:val="none"/>
        </w:rPr>
        <w:t>前在中山市公共资源交易平台--电子交易系统--综合交易系统答疑管理处提出。</w:t>
      </w:r>
    </w:p>
    <w:p>
      <w:pPr>
        <w:pStyle w:val="19"/>
        <w:numPr>
          <w:ilvl w:val="0"/>
          <w:numId w:val="4"/>
        </w:numPr>
        <w:ind w:left="349" w:hanging="348" w:hangingChars="166"/>
        <w:rPr>
          <w:rFonts w:ascii="宋体" w:hAnsi="宋体" w:cs="宋体"/>
          <w:color w:val="auto"/>
          <w:sz w:val="21"/>
          <w:szCs w:val="21"/>
          <w:highlight w:val="none"/>
        </w:rPr>
      </w:pPr>
      <w:r>
        <w:rPr>
          <w:rFonts w:hint="eastAsia" w:ascii="宋体" w:hAnsi="宋体" w:cs="宋体"/>
          <w:color w:val="auto"/>
          <w:sz w:val="21"/>
          <w:szCs w:val="21"/>
          <w:highlight w:val="none"/>
        </w:rPr>
        <w:t>答疑回复时间：</w:t>
      </w:r>
      <w:r>
        <w:rPr>
          <w:rFonts w:hint="eastAsia" w:ascii="宋体" w:hAnsi="宋体" w:cs="宋体"/>
          <w:color w:val="0000FF"/>
          <w:sz w:val="21"/>
          <w:szCs w:val="21"/>
          <w:highlight w:val="none"/>
        </w:rPr>
        <w:t>2022年</w:t>
      </w:r>
      <w:r>
        <w:rPr>
          <w:rFonts w:hint="eastAsia" w:ascii="宋体" w:hAnsi="宋体" w:cs="宋体"/>
          <w:color w:val="0000FF"/>
          <w:sz w:val="21"/>
          <w:szCs w:val="21"/>
          <w:highlight w:val="none"/>
          <w:lang w:val="en-US" w:eastAsia="zh-CN"/>
        </w:rPr>
        <w:t>2</w:t>
      </w:r>
      <w:r>
        <w:rPr>
          <w:rFonts w:hint="eastAsia" w:ascii="宋体" w:hAnsi="宋体" w:cs="宋体"/>
          <w:color w:val="0000FF"/>
          <w:sz w:val="21"/>
          <w:szCs w:val="21"/>
          <w:highlight w:val="none"/>
        </w:rPr>
        <w:t>月</w:t>
      </w:r>
      <w:r>
        <w:rPr>
          <w:rFonts w:hint="eastAsia" w:ascii="宋体" w:hAnsi="宋体" w:cs="宋体"/>
          <w:color w:val="0000FF"/>
          <w:sz w:val="21"/>
          <w:szCs w:val="21"/>
          <w:highlight w:val="none"/>
          <w:lang w:val="en-US" w:eastAsia="zh-CN"/>
        </w:rPr>
        <w:t>17</w:t>
      </w:r>
      <w:r>
        <w:rPr>
          <w:rFonts w:hint="eastAsia" w:ascii="宋体" w:hAnsi="宋体" w:cs="宋体"/>
          <w:color w:val="0000FF"/>
          <w:sz w:val="21"/>
          <w:szCs w:val="21"/>
          <w:highlight w:val="none"/>
        </w:rPr>
        <w:t>日17:30</w:t>
      </w:r>
      <w:r>
        <w:rPr>
          <w:rFonts w:hint="eastAsia" w:ascii="宋体" w:hAnsi="宋体" w:cs="宋体"/>
          <w:color w:val="0000FF"/>
          <w:sz w:val="21"/>
          <w:szCs w:val="21"/>
          <w:highlight w:val="none"/>
          <w:lang w:val="en-US" w:eastAsia="zh-CN"/>
        </w:rPr>
        <w:t>分</w:t>
      </w:r>
      <w:r>
        <w:rPr>
          <w:rFonts w:hint="eastAsia" w:ascii="宋体" w:hAnsi="宋体" w:cs="宋体"/>
          <w:color w:val="auto"/>
          <w:sz w:val="21"/>
          <w:szCs w:val="21"/>
          <w:highlight w:val="none"/>
        </w:rPr>
        <w:t>前将由招标代理机构统一在中山市公共资源交易网“综合交易--交易答疑澄清”栏发布答疑公告，请各投标人/供应商自行查看或下载。</w:t>
      </w:r>
    </w:p>
    <w:p>
      <w:pPr>
        <w:pStyle w:val="19"/>
        <w:numPr>
          <w:ilvl w:val="0"/>
          <w:numId w:val="4"/>
        </w:numPr>
        <w:ind w:left="349" w:hanging="348" w:hangingChars="166"/>
        <w:rPr>
          <w:rFonts w:ascii="宋体" w:hAnsi="宋体" w:cs="宋体"/>
          <w:color w:val="auto"/>
          <w:sz w:val="21"/>
          <w:szCs w:val="21"/>
          <w:highlight w:val="none"/>
        </w:rPr>
      </w:pPr>
      <w:r>
        <w:rPr>
          <w:rFonts w:hint="eastAsia" w:ascii="宋体" w:hAnsi="宋体" w:cs="宋体"/>
          <w:color w:val="auto"/>
          <w:sz w:val="21"/>
          <w:szCs w:val="21"/>
          <w:highlight w:val="none"/>
        </w:rPr>
        <w:t>投标保证金：投标人必须按（综合交易）网上缴纳保证金通知书规定的方式提交投标保证金，投标保证金为￥30000.00 元（大写：叁万元整），投标人/供应商应在</w:t>
      </w:r>
      <w:r>
        <w:rPr>
          <w:rFonts w:hint="eastAsia" w:ascii="宋体" w:hAnsi="宋体" w:cs="宋体"/>
          <w:color w:val="0000FF"/>
          <w:sz w:val="21"/>
          <w:szCs w:val="21"/>
          <w:highlight w:val="none"/>
        </w:rPr>
        <w:t>2022年</w:t>
      </w:r>
      <w:r>
        <w:rPr>
          <w:rFonts w:hint="eastAsia" w:ascii="宋体" w:hAnsi="宋体" w:cs="宋体"/>
          <w:color w:val="0000FF"/>
          <w:sz w:val="21"/>
          <w:szCs w:val="21"/>
          <w:highlight w:val="none"/>
          <w:lang w:val="en-US" w:eastAsia="zh-CN"/>
        </w:rPr>
        <w:t>2</w:t>
      </w:r>
      <w:r>
        <w:rPr>
          <w:rFonts w:hint="eastAsia" w:ascii="宋体" w:hAnsi="宋体" w:cs="宋体"/>
          <w:color w:val="0000FF"/>
          <w:sz w:val="21"/>
          <w:szCs w:val="21"/>
          <w:highlight w:val="none"/>
        </w:rPr>
        <w:t>月</w:t>
      </w:r>
      <w:r>
        <w:rPr>
          <w:rFonts w:hint="eastAsia" w:ascii="宋体" w:hAnsi="宋体" w:cs="宋体"/>
          <w:color w:val="0000FF"/>
          <w:sz w:val="21"/>
          <w:szCs w:val="21"/>
          <w:highlight w:val="none"/>
          <w:lang w:val="en-US" w:eastAsia="zh-CN"/>
        </w:rPr>
        <w:t>24</w:t>
      </w:r>
      <w:r>
        <w:rPr>
          <w:rFonts w:hint="eastAsia" w:ascii="宋体" w:hAnsi="宋体" w:cs="宋体"/>
          <w:color w:val="0000FF"/>
          <w:sz w:val="21"/>
          <w:szCs w:val="21"/>
          <w:highlight w:val="none"/>
        </w:rPr>
        <w:t>日</w:t>
      </w:r>
      <w:r>
        <w:rPr>
          <w:rFonts w:hint="eastAsia" w:ascii="宋体" w:hAnsi="宋体" w:cs="宋体"/>
          <w:color w:val="0000FF"/>
          <w:sz w:val="21"/>
          <w:szCs w:val="21"/>
          <w:highlight w:val="none"/>
          <w:lang w:val="en-US" w:eastAsia="zh-CN"/>
        </w:rPr>
        <w:t>17</w:t>
      </w:r>
      <w:r>
        <w:rPr>
          <w:rFonts w:hint="eastAsia" w:ascii="宋体" w:hAnsi="宋体" w:cs="宋体"/>
          <w:color w:val="0000FF"/>
          <w:sz w:val="21"/>
          <w:szCs w:val="21"/>
          <w:highlight w:val="none"/>
        </w:rPr>
        <w:t>:30</w:t>
      </w:r>
      <w:r>
        <w:rPr>
          <w:rFonts w:hint="eastAsia" w:ascii="宋体" w:hAnsi="宋体" w:cs="宋体"/>
          <w:color w:val="0000FF"/>
          <w:sz w:val="21"/>
          <w:szCs w:val="21"/>
          <w:highlight w:val="none"/>
          <w:lang w:val="en-US" w:eastAsia="zh-CN"/>
        </w:rPr>
        <w:t>分</w:t>
      </w:r>
      <w:r>
        <w:rPr>
          <w:rFonts w:hint="eastAsia" w:ascii="宋体" w:hAnsi="宋体" w:cs="宋体"/>
          <w:color w:val="auto"/>
          <w:sz w:val="21"/>
          <w:szCs w:val="21"/>
          <w:highlight w:val="none"/>
        </w:rPr>
        <w:t>前缴纳投标保证金。投标保证金账号由投标人/供应商通过综合交易系统申请并按照缴纳保证金通知书上内容缴纳</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投标人转账须使用基本</w:t>
      </w:r>
      <w:r>
        <w:rPr>
          <w:rFonts w:hint="eastAsia" w:ascii="宋体" w:hAnsi="宋体" w:cs="宋体"/>
          <w:color w:val="auto"/>
          <w:sz w:val="21"/>
          <w:szCs w:val="21"/>
          <w:highlight w:val="none"/>
          <w:lang w:eastAsia="zh-CN"/>
        </w:rPr>
        <w:t>账</w:t>
      </w:r>
      <w:r>
        <w:rPr>
          <w:rFonts w:hint="eastAsia" w:ascii="宋体" w:hAnsi="宋体" w:cs="宋体"/>
          <w:color w:val="auto"/>
          <w:sz w:val="21"/>
          <w:szCs w:val="21"/>
          <w:highlight w:val="none"/>
        </w:rPr>
        <w:t>户转账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如以电子保函方式提交投标保证金的，投标人凭电子招投标数字证书登入综合交易系统，在“保证金管理--缴纳保证金”栏目页面，选择参与投标的项目，选择相关金融机构办理电子保函。电子保函的出具时间视同于保证金提交时间。电子保函有效期限到期后自动失效，若在有效期间内办理注销的，则在注销之日起失效。电子保函办理的申请流程及操作指引详见中山市公共资源交易中心门户网站的“服务指南—资料下载”--《电子保函操作手册（综合交易系统部分）》。</w:t>
      </w:r>
    </w:p>
    <w:p>
      <w:pPr>
        <w:pStyle w:val="19"/>
        <w:numPr>
          <w:ilvl w:val="0"/>
          <w:numId w:val="4"/>
        </w:numPr>
        <w:ind w:left="349" w:hanging="348" w:hangingChars="166"/>
        <w:rPr>
          <w:rFonts w:ascii="宋体" w:hAnsi="宋体" w:cs="宋体"/>
          <w:color w:val="auto"/>
          <w:sz w:val="21"/>
          <w:szCs w:val="21"/>
          <w:highlight w:val="none"/>
        </w:rPr>
      </w:pPr>
      <w:r>
        <w:rPr>
          <w:rFonts w:hint="eastAsia" w:ascii="宋体" w:hAnsi="宋体" w:cs="宋体"/>
          <w:color w:val="auto"/>
          <w:sz w:val="21"/>
          <w:szCs w:val="21"/>
          <w:highlight w:val="none"/>
        </w:rPr>
        <w:t>投标截止时间：2022年</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日上午9:30</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北京时间）</w:t>
      </w:r>
    </w:p>
    <w:p>
      <w:pPr>
        <w:pStyle w:val="19"/>
        <w:numPr>
          <w:ilvl w:val="0"/>
          <w:numId w:val="4"/>
        </w:numPr>
        <w:ind w:left="349" w:hanging="348" w:hangingChars="166"/>
        <w:rPr>
          <w:rFonts w:ascii="宋体" w:hAnsi="宋体" w:cs="宋体"/>
          <w:color w:val="auto"/>
          <w:sz w:val="21"/>
          <w:szCs w:val="21"/>
          <w:highlight w:val="none"/>
        </w:rPr>
      </w:pPr>
      <w:r>
        <w:rPr>
          <w:rFonts w:hint="eastAsia" w:ascii="宋体" w:hAnsi="宋体" w:cs="宋体"/>
          <w:color w:val="auto"/>
          <w:sz w:val="21"/>
          <w:szCs w:val="21"/>
          <w:highlight w:val="none"/>
        </w:rPr>
        <w:t>开标评标时间：2022年</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日上午9:30</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北京时间）</w:t>
      </w:r>
    </w:p>
    <w:p>
      <w:pPr>
        <w:pStyle w:val="19"/>
        <w:numPr>
          <w:ilvl w:val="0"/>
          <w:numId w:val="4"/>
        </w:numPr>
        <w:ind w:left="349" w:hanging="348" w:hangingChars="166"/>
        <w:rPr>
          <w:rFonts w:ascii="宋体" w:hAnsi="宋体" w:cs="宋体"/>
          <w:color w:val="auto"/>
          <w:sz w:val="21"/>
          <w:szCs w:val="21"/>
          <w:highlight w:val="none"/>
        </w:rPr>
      </w:pPr>
      <w:r>
        <w:rPr>
          <w:rFonts w:hint="eastAsia" w:ascii="宋体" w:hAnsi="宋体" w:cs="宋体"/>
          <w:color w:val="auto"/>
          <w:sz w:val="21"/>
          <w:szCs w:val="21"/>
          <w:highlight w:val="none"/>
        </w:rPr>
        <w:t>投标文件递交及开标评标地点：本项目在中山市公共资源交易中心现场组织网上开标，投标人无需抵达开标现场。投标人可登录中山市公共资源交易网（http://ggzyjy.zs.gov.cn)→“电子交易系统”→“综合交易系统”→“参与项目”→“网上开标”栏目查看项目开标过程，依法提出开标异议。</w:t>
      </w:r>
    </w:p>
    <w:p>
      <w:pPr>
        <w:pStyle w:val="19"/>
        <w:numPr>
          <w:ilvl w:val="0"/>
          <w:numId w:val="4"/>
        </w:numPr>
        <w:ind w:left="349" w:hanging="348" w:hangingChars="166"/>
        <w:rPr>
          <w:rFonts w:ascii="宋体" w:hAnsi="宋体" w:cs="宋体"/>
          <w:color w:val="auto"/>
          <w:sz w:val="21"/>
          <w:szCs w:val="21"/>
          <w:highlight w:val="none"/>
        </w:rPr>
      </w:pPr>
      <w:r>
        <w:rPr>
          <w:rFonts w:hint="eastAsia" w:ascii="宋体" w:hAnsi="宋体" w:cs="宋体"/>
          <w:color w:val="auto"/>
          <w:sz w:val="21"/>
          <w:szCs w:val="21"/>
          <w:highlight w:val="none"/>
        </w:rPr>
        <w:t>其他补充事宜：本项目相关公告在以下媒体发布：中山市公共资源交易网（https://ggzyjy.zs.gov.cn/）、招标代理机构网站（www.fanghegd.com）。公布之日即视为有效送达，不再另行通知。</w:t>
      </w:r>
    </w:p>
    <w:p>
      <w:pPr>
        <w:pStyle w:val="19"/>
        <w:numPr>
          <w:ilvl w:val="0"/>
          <w:numId w:val="4"/>
        </w:numPr>
        <w:ind w:left="349" w:hanging="348" w:hangingChars="166"/>
        <w:rPr>
          <w:rFonts w:ascii="宋体" w:hAnsi="宋体" w:cs="宋体"/>
          <w:color w:val="auto"/>
          <w:sz w:val="21"/>
          <w:szCs w:val="21"/>
          <w:highlight w:val="none"/>
        </w:rPr>
      </w:pPr>
      <w:r>
        <w:rPr>
          <w:rFonts w:hint="eastAsia" w:ascii="宋体" w:hAnsi="宋体" w:cs="宋体"/>
          <w:color w:val="auto"/>
          <w:sz w:val="21"/>
          <w:szCs w:val="21"/>
          <w:highlight w:val="none"/>
        </w:rPr>
        <w:t>招标人、招标代理机构、监管部门联系方式及地址：</w:t>
      </w:r>
    </w:p>
    <w:p>
      <w:pPr>
        <w:pStyle w:val="19"/>
        <w:numPr>
          <w:ilvl w:val="0"/>
          <w:numId w:val="8"/>
        </w:numPr>
        <w:ind w:hanging="225"/>
        <w:rPr>
          <w:rFonts w:ascii="宋体" w:hAnsi="宋体" w:cs="宋体"/>
          <w:color w:val="auto"/>
          <w:sz w:val="21"/>
          <w:szCs w:val="21"/>
          <w:highlight w:val="none"/>
        </w:rPr>
      </w:pPr>
      <w:r>
        <w:rPr>
          <w:rFonts w:hint="eastAsia" w:ascii="宋体" w:hAnsi="宋体" w:cs="宋体"/>
          <w:color w:val="auto"/>
          <w:sz w:val="21"/>
          <w:szCs w:val="21"/>
          <w:highlight w:val="none"/>
        </w:rPr>
        <w:t>招标人名称：中山市火炬科学技术学校</w:t>
      </w:r>
    </w:p>
    <w:p>
      <w:pPr>
        <w:pStyle w:val="19"/>
        <w:ind w:firstLine="399" w:firstLineChars="190"/>
        <w:rPr>
          <w:rFonts w:ascii="宋体" w:hAnsi="宋体" w:cs="宋体"/>
          <w:color w:val="auto"/>
          <w:sz w:val="21"/>
          <w:szCs w:val="21"/>
          <w:highlight w:val="none"/>
        </w:rPr>
      </w:pPr>
      <w:r>
        <w:rPr>
          <w:rFonts w:hint="eastAsia" w:ascii="宋体" w:hAnsi="宋体" w:cs="宋体"/>
          <w:color w:val="auto"/>
          <w:sz w:val="21"/>
          <w:szCs w:val="21"/>
          <w:highlight w:val="none"/>
        </w:rPr>
        <w:t>地址：中山市火炬开发区沿江东三路20号</w:t>
      </w:r>
    </w:p>
    <w:p>
      <w:pPr>
        <w:pStyle w:val="19"/>
        <w:ind w:firstLine="399" w:firstLineChars="190"/>
        <w:rPr>
          <w:rFonts w:ascii="宋体" w:hAnsi="宋体" w:cs="宋体"/>
          <w:color w:val="auto"/>
          <w:sz w:val="21"/>
          <w:szCs w:val="21"/>
          <w:highlight w:val="none"/>
        </w:rPr>
      </w:pPr>
      <w:r>
        <w:rPr>
          <w:rFonts w:hint="eastAsia" w:ascii="宋体" w:hAnsi="宋体" w:cs="宋体"/>
          <w:color w:val="auto"/>
          <w:sz w:val="21"/>
          <w:szCs w:val="21"/>
          <w:highlight w:val="none"/>
        </w:rPr>
        <w:t>联系人： 陈老师</w:t>
      </w:r>
    </w:p>
    <w:p>
      <w:pPr>
        <w:pStyle w:val="19"/>
        <w:ind w:firstLine="399" w:firstLineChars="190"/>
        <w:rPr>
          <w:rFonts w:ascii="宋体" w:hAnsi="宋体" w:cs="宋体"/>
          <w:color w:val="auto"/>
          <w:sz w:val="21"/>
          <w:szCs w:val="21"/>
          <w:highlight w:val="none"/>
        </w:rPr>
      </w:pPr>
      <w:r>
        <w:rPr>
          <w:rFonts w:hint="eastAsia" w:ascii="宋体" w:hAnsi="宋体" w:cs="宋体"/>
          <w:color w:val="auto"/>
          <w:sz w:val="21"/>
          <w:szCs w:val="21"/>
          <w:highlight w:val="none"/>
        </w:rPr>
        <w:t>联系电话： 18923336801</w:t>
      </w:r>
    </w:p>
    <w:p>
      <w:pPr>
        <w:pStyle w:val="19"/>
        <w:numPr>
          <w:ilvl w:val="0"/>
          <w:numId w:val="8"/>
        </w:numPr>
        <w:ind w:hanging="225"/>
        <w:rPr>
          <w:rFonts w:ascii="宋体" w:hAnsi="宋体" w:cs="宋体"/>
          <w:color w:val="auto"/>
          <w:sz w:val="21"/>
          <w:szCs w:val="21"/>
          <w:highlight w:val="none"/>
        </w:rPr>
      </w:pPr>
      <w:r>
        <w:rPr>
          <w:rFonts w:hint="eastAsia" w:ascii="宋体" w:hAnsi="宋体" w:cs="宋体"/>
          <w:color w:val="auto"/>
          <w:sz w:val="21"/>
          <w:szCs w:val="21"/>
          <w:highlight w:val="none"/>
        </w:rPr>
        <w:t>招标代理机构：方禾（广东）项目管理有限公司</w:t>
      </w:r>
    </w:p>
    <w:p>
      <w:pPr>
        <w:pStyle w:val="19"/>
        <w:ind w:firstLine="399" w:firstLineChars="190"/>
        <w:rPr>
          <w:rFonts w:ascii="宋体" w:hAnsi="宋体" w:cs="宋体"/>
          <w:color w:val="auto"/>
          <w:sz w:val="21"/>
          <w:szCs w:val="21"/>
          <w:highlight w:val="none"/>
        </w:rPr>
      </w:pPr>
      <w:r>
        <w:rPr>
          <w:rFonts w:hint="eastAsia" w:ascii="宋体" w:hAnsi="宋体" w:cs="宋体"/>
          <w:color w:val="auto"/>
          <w:sz w:val="21"/>
          <w:szCs w:val="21"/>
          <w:highlight w:val="none"/>
        </w:rPr>
        <w:t>联系地址：中山市汉宏盈基商务中心406室</w:t>
      </w:r>
    </w:p>
    <w:p>
      <w:pPr>
        <w:pStyle w:val="19"/>
        <w:ind w:firstLine="399" w:firstLineChars="190"/>
        <w:rPr>
          <w:rFonts w:ascii="宋体" w:hAnsi="宋体" w:cs="宋体"/>
          <w:color w:val="auto"/>
          <w:sz w:val="21"/>
          <w:szCs w:val="21"/>
          <w:highlight w:val="none"/>
        </w:rPr>
      </w:pPr>
      <w:r>
        <w:rPr>
          <w:rFonts w:hint="eastAsia" w:ascii="宋体" w:hAnsi="宋体" w:cs="宋体"/>
          <w:color w:val="auto"/>
          <w:sz w:val="21"/>
          <w:szCs w:val="21"/>
          <w:highlight w:val="none"/>
        </w:rPr>
        <w:t>联系人：刘小姐</w:t>
      </w:r>
    </w:p>
    <w:p>
      <w:pPr>
        <w:pStyle w:val="19"/>
        <w:ind w:firstLine="399" w:firstLineChars="190"/>
        <w:rPr>
          <w:rFonts w:ascii="宋体" w:hAnsi="宋体" w:cs="宋体"/>
          <w:color w:val="auto"/>
          <w:sz w:val="21"/>
          <w:szCs w:val="21"/>
          <w:highlight w:val="none"/>
        </w:rPr>
      </w:pPr>
      <w:r>
        <w:rPr>
          <w:rFonts w:hint="eastAsia" w:ascii="宋体" w:hAnsi="宋体" w:cs="宋体"/>
          <w:color w:val="auto"/>
          <w:sz w:val="21"/>
          <w:szCs w:val="21"/>
          <w:highlight w:val="none"/>
        </w:rPr>
        <w:t>联系电话：0760-86937513</w:t>
      </w:r>
    </w:p>
    <w:p>
      <w:pPr>
        <w:pStyle w:val="19"/>
        <w:ind w:firstLine="399" w:firstLineChars="190"/>
        <w:rPr>
          <w:rFonts w:ascii="宋体" w:hAnsi="宋体" w:cs="宋体"/>
          <w:color w:val="auto"/>
          <w:sz w:val="21"/>
          <w:szCs w:val="21"/>
          <w:highlight w:val="none"/>
        </w:rPr>
      </w:pPr>
      <w:r>
        <w:rPr>
          <w:rFonts w:hint="eastAsia" w:ascii="宋体" w:hAnsi="宋体" w:cs="宋体"/>
          <w:color w:val="auto"/>
          <w:sz w:val="21"/>
          <w:szCs w:val="21"/>
          <w:highlight w:val="none"/>
        </w:rPr>
        <w:t>邮箱：fhxmgl@163.com</w:t>
      </w:r>
    </w:p>
    <w:p>
      <w:pPr>
        <w:pStyle w:val="19"/>
        <w:numPr>
          <w:ilvl w:val="0"/>
          <w:numId w:val="8"/>
        </w:numPr>
        <w:ind w:hanging="225"/>
        <w:rPr>
          <w:rFonts w:ascii="宋体" w:hAnsi="宋体" w:cs="宋体"/>
          <w:color w:val="auto"/>
          <w:sz w:val="21"/>
          <w:szCs w:val="21"/>
          <w:highlight w:val="none"/>
        </w:rPr>
      </w:pPr>
      <w:r>
        <w:rPr>
          <w:rFonts w:hint="eastAsia" w:ascii="宋体" w:hAnsi="宋体" w:cs="宋体"/>
          <w:color w:val="auto"/>
          <w:sz w:val="21"/>
          <w:szCs w:val="21"/>
          <w:highlight w:val="none"/>
        </w:rPr>
        <w:t>监管部门：中山市教育和体育局</w:t>
      </w:r>
    </w:p>
    <w:p>
      <w:pPr>
        <w:pStyle w:val="19"/>
        <w:ind w:firstLine="399" w:firstLineChars="190"/>
        <w:rPr>
          <w:rFonts w:ascii="宋体" w:hAnsi="宋体" w:cs="宋体"/>
          <w:color w:val="auto"/>
          <w:sz w:val="21"/>
          <w:szCs w:val="21"/>
          <w:highlight w:val="none"/>
        </w:rPr>
      </w:pPr>
      <w:r>
        <w:rPr>
          <w:rFonts w:hint="eastAsia" w:ascii="宋体" w:hAnsi="宋体" w:cs="宋体"/>
          <w:color w:val="auto"/>
          <w:sz w:val="21"/>
          <w:szCs w:val="21"/>
          <w:highlight w:val="none"/>
        </w:rPr>
        <w:t>联系人：财务基建科 梁铭升</w:t>
      </w:r>
    </w:p>
    <w:p>
      <w:pPr>
        <w:pStyle w:val="19"/>
        <w:ind w:firstLine="399" w:firstLineChars="190"/>
        <w:rPr>
          <w:rFonts w:ascii="宋体" w:hAnsi="宋体" w:cs="宋体"/>
          <w:color w:val="auto"/>
          <w:sz w:val="21"/>
          <w:szCs w:val="21"/>
          <w:highlight w:val="none"/>
        </w:rPr>
      </w:pPr>
      <w:r>
        <w:rPr>
          <w:rFonts w:hint="eastAsia" w:ascii="宋体" w:hAnsi="宋体" w:cs="宋体"/>
          <w:color w:val="auto"/>
          <w:sz w:val="21"/>
          <w:szCs w:val="21"/>
          <w:highlight w:val="none"/>
        </w:rPr>
        <w:t>联系电话：0760-89989229</w:t>
      </w:r>
    </w:p>
    <w:p>
      <w:pPr>
        <w:pStyle w:val="19"/>
        <w:jc w:val="right"/>
        <w:rPr>
          <w:rFonts w:ascii="宋体" w:hAnsi="宋体" w:cs="宋体"/>
          <w:color w:val="auto"/>
          <w:sz w:val="21"/>
          <w:szCs w:val="21"/>
          <w:highlight w:val="none"/>
        </w:rPr>
      </w:pPr>
      <w:r>
        <w:rPr>
          <w:rFonts w:hint="eastAsia" w:ascii="宋体" w:hAnsi="宋体" w:cs="宋体"/>
          <w:color w:val="auto"/>
          <w:sz w:val="21"/>
          <w:szCs w:val="21"/>
          <w:highlight w:val="none"/>
        </w:rPr>
        <w:t>发布人：方禾（广东）项目管理有限公司</w:t>
      </w:r>
    </w:p>
    <w:p>
      <w:pPr>
        <w:pStyle w:val="19"/>
        <w:jc w:val="right"/>
        <w:rPr>
          <w:rFonts w:ascii="宋体" w:hAnsi="宋体" w:cs="宋体"/>
          <w:color w:val="auto"/>
          <w:sz w:val="21"/>
          <w:szCs w:val="21"/>
          <w:highlight w:val="none"/>
        </w:rPr>
      </w:pPr>
      <w:r>
        <w:rPr>
          <w:rFonts w:hint="eastAsia" w:ascii="宋体" w:hAnsi="宋体" w:cs="宋体"/>
          <w:color w:val="auto"/>
          <w:sz w:val="21"/>
          <w:szCs w:val="21"/>
          <w:highlight w:val="none"/>
        </w:rPr>
        <w:t>发布时间：</w:t>
      </w:r>
      <w:r>
        <w:rPr>
          <w:rFonts w:hint="eastAsia" w:ascii="宋体" w:hAnsi="宋体" w:cs="宋体"/>
          <w:color w:val="auto"/>
          <w:sz w:val="21"/>
          <w:szCs w:val="21"/>
          <w:highlight w:val="none"/>
          <w:u w:val="single"/>
        </w:rPr>
        <w:t>2022年</w:t>
      </w:r>
      <w:r>
        <w:rPr>
          <w:rFonts w:hint="eastAsia" w:ascii="宋体" w:hAnsi="宋体" w:cs="宋体"/>
          <w:color w:val="0000FF"/>
          <w:sz w:val="21"/>
          <w:szCs w:val="21"/>
          <w:highlight w:val="none"/>
          <w:u w:val="single"/>
          <w:lang w:val="en-US" w:eastAsia="zh-CN"/>
        </w:rPr>
        <w:t>2</w:t>
      </w:r>
      <w:r>
        <w:rPr>
          <w:rFonts w:hint="eastAsia" w:ascii="宋体" w:hAnsi="宋体" w:cs="宋体"/>
          <w:color w:val="0000FF"/>
          <w:sz w:val="21"/>
          <w:szCs w:val="21"/>
          <w:highlight w:val="none"/>
          <w:u w:val="single"/>
        </w:rPr>
        <w:t>月</w:t>
      </w:r>
      <w:r>
        <w:rPr>
          <w:rFonts w:hint="eastAsia" w:ascii="宋体" w:hAnsi="宋体" w:cs="宋体"/>
          <w:color w:val="0000FF"/>
          <w:sz w:val="21"/>
          <w:szCs w:val="21"/>
          <w:highlight w:val="none"/>
          <w:u w:val="single"/>
          <w:lang w:val="en-US" w:eastAsia="zh-CN"/>
        </w:rPr>
        <w:t>30</w:t>
      </w:r>
      <w:r>
        <w:rPr>
          <w:rFonts w:hint="eastAsia" w:ascii="宋体" w:hAnsi="宋体" w:cs="宋体"/>
          <w:color w:val="0000FF"/>
          <w:sz w:val="21"/>
          <w:szCs w:val="21"/>
          <w:highlight w:val="none"/>
          <w:u w:val="single"/>
        </w:rPr>
        <w:t>日</w:t>
      </w:r>
    </w:p>
    <w:bookmarkEnd w:id="19"/>
    <w:p>
      <w:pPr>
        <w:pStyle w:val="19"/>
        <w:rPr>
          <w:color w:val="auto"/>
          <w:highlight w:val="none"/>
        </w:rPr>
      </w:pPr>
    </w:p>
    <w:p>
      <w:pPr>
        <w:pStyle w:val="19"/>
        <w:jc w:val="center"/>
        <w:rPr>
          <w:color w:val="auto"/>
          <w:highlight w:val="none"/>
        </w:rPr>
      </w:pPr>
    </w:p>
    <w:p>
      <w:pPr>
        <w:pStyle w:val="19"/>
        <w:jc w:val="center"/>
        <w:rPr>
          <w:color w:val="auto"/>
          <w:highlight w:val="none"/>
        </w:rPr>
      </w:pPr>
    </w:p>
    <w:p>
      <w:pPr>
        <w:pStyle w:val="19"/>
        <w:jc w:val="center"/>
        <w:rPr>
          <w:color w:val="auto"/>
          <w:highlight w:val="none"/>
        </w:rPr>
      </w:pPr>
    </w:p>
    <w:p>
      <w:pPr>
        <w:pStyle w:val="19"/>
        <w:jc w:val="center"/>
        <w:rPr>
          <w:color w:val="auto"/>
          <w:highlight w:val="none"/>
        </w:rPr>
      </w:pPr>
    </w:p>
    <w:p>
      <w:pPr>
        <w:pStyle w:val="19"/>
        <w:jc w:val="center"/>
        <w:rPr>
          <w:color w:val="auto"/>
          <w:highlight w:val="none"/>
        </w:rPr>
      </w:pPr>
    </w:p>
    <w:p>
      <w:pPr>
        <w:pStyle w:val="19"/>
        <w:jc w:val="center"/>
        <w:rPr>
          <w:color w:val="auto"/>
          <w:highlight w:val="none"/>
        </w:rPr>
      </w:pPr>
    </w:p>
    <w:p>
      <w:pPr>
        <w:pStyle w:val="19"/>
        <w:jc w:val="center"/>
        <w:rPr>
          <w:color w:val="auto"/>
          <w:highlight w:val="none"/>
        </w:rPr>
      </w:pPr>
    </w:p>
    <w:p>
      <w:pPr>
        <w:pStyle w:val="19"/>
        <w:jc w:val="center"/>
        <w:rPr>
          <w:color w:val="auto"/>
          <w:highlight w:val="none"/>
        </w:rPr>
      </w:pPr>
    </w:p>
    <w:p>
      <w:pPr>
        <w:pStyle w:val="19"/>
        <w:jc w:val="center"/>
        <w:rPr>
          <w:color w:val="auto"/>
          <w:highlight w:val="none"/>
        </w:rPr>
      </w:pPr>
    </w:p>
    <w:p>
      <w:pPr>
        <w:pStyle w:val="19"/>
        <w:jc w:val="center"/>
        <w:rPr>
          <w:color w:val="auto"/>
          <w:highlight w:val="none"/>
        </w:rPr>
      </w:pPr>
    </w:p>
    <w:p>
      <w:pPr>
        <w:pStyle w:val="19"/>
        <w:jc w:val="center"/>
        <w:rPr>
          <w:color w:val="auto"/>
          <w:highlight w:val="none"/>
        </w:rPr>
      </w:pPr>
    </w:p>
    <w:p>
      <w:pPr>
        <w:pStyle w:val="19"/>
        <w:jc w:val="center"/>
        <w:rPr>
          <w:color w:val="auto"/>
          <w:highlight w:val="none"/>
        </w:rPr>
      </w:pPr>
    </w:p>
    <w:p>
      <w:pPr>
        <w:pStyle w:val="19"/>
        <w:jc w:val="center"/>
        <w:rPr>
          <w:color w:val="auto"/>
          <w:highlight w:val="none"/>
        </w:rPr>
      </w:pPr>
    </w:p>
    <w:p>
      <w:pPr>
        <w:pStyle w:val="19"/>
        <w:jc w:val="center"/>
        <w:rPr>
          <w:color w:val="auto"/>
          <w:highlight w:val="none"/>
        </w:rPr>
      </w:pPr>
    </w:p>
    <w:p>
      <w:pPr>
        <w:pStyle w:val="19"/>
        <w:jc w:val="center"/>
        <w:rPr>
          <w:color w:val="auto"/>
          <w:highlight w:val="none"/>
        </w:rPr>
      </w:pPr>
    </w:p>
    <w:p>
      <w:pPr>
        <w:pStyle w:val="19"/>
        <w:jc w:val="center"/>
        <w:rPr>
          <w:color w:val="auto"/>
          <w:highlight w:val="none"/>
        </w:rPr>
      </w:pPr>
    </w:p>
    <w:p>
      <w:pPr>
        <w:pStyle w:val="19"/>
        <w:jc w:val="center"/>
        <w:rPr>
          <w:color w:val="auto"/>
          <w:highlight w:val="none"/>
        </w:rPr>
      </w:pPr>
    </w:p>
    <w:p>
      <w:pPr>
        <w:pStyle w:val="19"/>
        <w:jc w:val="center"/>
        <w:rPr>
          <w:color w:val="auto"/>
          <w:highlight w:val="none"/>
        </w:rPr>
      </w:pPr>
    </w:p>
    <w:p>
      <w:pPr>
        <w:pStyle w:val="19"/>
        <w:jc w:val="center"/>
        <w:rPr>
          <w:color w:val="auto"/>
          <w:highlight w:val="none"/>
        </w:rPr>
      </w:pPr>
    </w:p>
    <w:p>
      <w:pPr>
        <w:pStyle w:val="19"/>
        <w:jc w:val="center"/>
        <w:rPr>
          <w:color w:val="auto"/>
          <w:highlight w:val="none"/>
        </w:rPr>
      </w:pPr>
    </w:p>
    <w:p>
      <w:pPr>
        <w:pStyle w:val="19"/>
        <w:jc w:val="center"/>
        <w:rPr>
          <w:color w:val="auto"/>
          <w:highlight w:val="none"/>
        </w:rPr>
      </w:pPr>
    </w:p>
    <w:p>
      <w:pPr>
        <w:pStyle w:val="19"/>
        <w:jc w:val="center"/>
        <w:rPr>
          <w:color w:val="auto"/>
          <w:highlight w:val="none"/>
        </w:rPr>
      </w:pPr>
    </w:p>
    <w:p>
      <w:pPr>
        <w:snapToGrid w:val="0"/>
        <w:spacing w:line="360" w:lineRule="auto"/>
        <w:jc w:val="center"/>
        <w:outlineLvl w:val="0"/>
        <w:rPr>
          <w:rFonts w:ascii="宋体" w:hAnsi="宋体" w:cs="宋体"/>
          <w:b/>
          <w:bCs/>
          <w:color w:val="auto"/>
          <w:sz w:val="40"/>
          <w:szCs w:val="40"/>
          <w:highlight w:val="none"/>
        </w:rPr>
        <w:sectPr>
          <w:pgSz w:w="11906" w:h="16838"/>
          <w:pgMar w:top="1357" w:right="1134" w:bottom="1134" w:left="1334" w:header="284" w:footer="725" w:gutter="0"/>
          <w:pgNumType w:fmt="decimal"/>
          <w:cols w:space="720" w:num="1"/>
          <w:titlePg/>
          <w:docGrid w:type="lines" w:linePitch="312" w:charSpace="0"/>
        </w:sectPr>
      </w:pPr>
      <w:bookmarkStart w:id="3" w:name="_Toc691"/>
      <w:r>
        <w:rPr>
          <w:rFonts w:hint="eastAsia" w:ascii="宋体" w:hAnsi="宋体" w:cs="宋体"/>
          <w:b/>
          <w:bCs/>
          <w:color w:val="auto"/>
          <w:sz w:val="40"/>
          <w:szCs w:val="40"/>
          <w:highlight w:val="none"/>
        </w:rPr>
        <w:t>第二章  用户需求书</w:t>
      </w:r>
      <w:bookmarkEnd w:id="3"/>
    </w:p>
    <w:p>
      <w:pPr>
        <w:tabs>
          <w:tab w:val="left" w:pos="640"/>
        </w:tabs>
        <w:snapToGrid w:val="0"/>
        <w:spacing w:line="360" w:lineRule="auto"/>
        <w:jc w:val="center"/>
        <w:rPr>
          <w:rFonts w:hAnsi="宋体" w:cs="宋体"/>
          <w:b/>
          <w:snapToGrid w:val="0"/>
          <w:color w:val="auto"/>
          <w:sz w:val="36"/>
          <w:szCs w:val="36"/>
          <w:highlight w:val="none"/>
        </w:rPr>
      </w:pPr>
      <w:r>
        <w:rPr>
          <w:rFonts w:hint="eastAsia" w:hAnsi="宋体" w:cs="宋体"/>
          <w:b/>
          <w:snapToGrid w:val="0"/>
          <w:color w:val="auto"/>
          <w:sz w:val="36"/>
          <w:szCs w:val="36"/>
          <w:highlight w:val="none"/>
        </w:rPr>
        <w:t>用户需求书</w:t>
      </w:r>
    </w:p>
    <w:p>
      <w:pPr>
        <w:pStyle w:val="19"/>
        <w:numPr>
          <w:ilvl w:val="0"/>
          <w:numId w:val="9"/>
        </w:numPr>
        <w:tabs>
          <w:tab w:val="left" w:pos="400"/>
        </w:tabs>
        <w:ind w:left="458" w:hanging="458" w:hangingChars="190"/>
        <w:rPr>
          <w:rFonts w:ascii="宋体" w:hAnsi="宋体" w:cs="宋体"/>
          <w:b/>
          <w:color w:val="auto"/>
          <w:highlight w:val="none"/>
        </w:rPr>
      </w:pPr>
      <w:r>
        <w:rPr>
          <w:rFonts w:hint="eastAsia" w:ascii="宋体" w:hAnsi="宋体" w:cs="宋体"/>
          <w:b/>
          <w:snapToGrid w:val="0"/>
          <w:color w:val="auto"/>
          <w:highlight w:val="none"/>
        </w:rPr>
        <w:t>说明</w:t>
      </w:r>
    </w:p>
    <w:p>
      <w:pPr>
        <w:numPr>
          <w:ilvl w:val="0"/>
          <w:numId w:val="10"/>
        </w:numPr>
        <w:tabs>
          <w:tab w:val="left" w:pos="400"/>
        </w:tabs>
        <w:spacing w:line="360" w:lineRule="auto"/>
        <w:ind w:left="405" w:hanging="405"/>
        <w:rPr>
          <w:rFonts w:ascii="宋体" w:hAnsi="宋体" w:cs="宋体"/>
          <w:bCs/>
          <w:snapToGrid w:val="0"/>
          <w:color w:val="auto"/>
          <w:sz w:val="21"/>
          <w:szCs w:val="21"/>
          <w:highlight w:val="none"/>
        </w:rPr>
      </w:pPr>
      <w:r>
        <w:rPr>
          <w:rFonts w:hint="eastAsia" w:ascii="宋体" w:hAnsi="宋体" w:cs="宋体"/>
          <w:bCs/>
          <w:snapToGrid w:val="0"/>
          <w:color w:val="auto"/>
          <w:sz w:val="21"/>
          <w:szCs w:val="21"/>
          <w:highlight w:val="none"/>
        </w:rPr>
        <w:t>招标人有权在签订合同时对项目方案作适当修改。</w:t>
      </w:r>
    </w:p>
    <w:p>
      <w:pPr>
        <w:numPr>
          <w:ilvl w:val="0"/>
          <w:numId w:val="10"/>
        </w:numPr>
        <w:tabs>
          <w:tab w:val="left" w:pos="400"/>
        </w:tabs>
        <w:spacing w:line="360" w:lineRule="auto"/>
        <w:ind w:left="405" w:hanging="405"/>
        <w:rPr>
          <w:rFonts w:ascii="宋体" w:hAnsi="宋体" w:cs="宋体"/>
          <w:bCs/>
          <w:snapToGrid w:val="0"/>
          <w:color w:val="auto"/>
          <w:sz w:val="21"/>
          <w:szCs w:val="21"/>
          <w:highlight w:val="none"/>
        </w:rPr>
      </w:pPr>
      <w:r>
        <w:rPr>
          <w:rFonts w:hint="eastAsia" w:ascii="宋体" w:hAnsi="宋体" w:cs="宋体"/>
          <w:bCs/>
          <w:snapToGrid w:val="0"/>
          <w:color w:val="auto"/>
          <w:sz w:val="21"/>
          <w:szCs w:val="21"/>
          <w:highlight w:val="none"/>
        </w:rPr>
        <w:t>投标人在投标文件中要列明在项目实施过程中要求招标人提供的配合条件。</w:t>
      </w:r>
    </w:p>
    <w:p>
      <w:pPr>
        <w:numPr>
          <w:ilvl w:val="0"/>
          <w:numId w:val="10"/>
        </w:numPr>
        <w:tabs>
          <w:tab w:val="left" w:pos="400"/>
        </w:tabs>
        <w:spacing w:line="360" w:lineRule="auto"/>
        <w:ind w:left="405" w:hanging="405"/>
        <w:rPr>
          <w:rFonts w:ascii="宋体" w:hAnsi="宋体" w:cs="宋体"/>
          <w:bCs/>
          <w:snapToGrid w:val="0"/>
          <w:color w:val="auto"/>
          <w:sz w:val="21"/>
          <w:szCs w:val="21"/>
          <w:highlight w:val="none"/>
        </w:rPr>
      </w:pPr>
      <w:r>
        <w:rPr>
          <w:rFonts w:hint="eastAsia" w:ascii="宋体" w:hAnsi="宋体" w:cs="宋体"/>
          <w:bCs/>
          <w:snapToGrid w:val="0"/>
          <w:color w:val="auto"/>
          <w:sz w:val="21"/>
          <w:szCs w:val="21"/>
          <w:highlight w:val="none"/>
        </w:rPr>
        <w:t>投标人应对本项目为单位的服务进行整体响应，凡有“★”标识的内容条款是重要的实质性响应要求，投标人必须对此作出回答并完全满足这些要求，不可以出现负偏离，如果出现负偏离则其投标将被视为无效投标。任何对招标文件某部分内容不响应或不满足的都可能影响该投标人的综合得分。</w:t>
      </w:r>
    </w:p>
    <w:p>
      <w:pPr>
        <w:numPr>
          <w:ilvl w:val="0"/>
          <w:numId w:val="10"/>
        </w:numPr>
        <w:tabs>
          <w:tab w:val="left" w:pos="400"/>
        </w:tabs>
        <w:spacing w:line="360" w:lineRule="auto"/>
        <w:ind w:left="405" w:hanging="405"/>
        <w:rPr>
          <w:rFonts w:ascii="宋体" w:hAnsi="宋体" w:cs="宋体"/>
          <w:bCs/>
          <w:snapToGrid w:val="0"/>
          <w:color w:val="auto"/>
          <w:sz w:val="21"/>
          <w:szCs w:val="21"/>
          <w:highlight w:val="none"/>
        </w:rPr>
      </w:pPr>
      <w:r>
        <w:rPr>
          <w:rFonts w:hint="eastAsia" w:ascii="宋体" w:hAnsi="宋体" w:cs="宋体"/>
          <w:bCs/>
          <w:snapToGrid w:val="0"/>
          <w:color w:val="auto"/>
          <w:sz w:val="21"/>
          <w:szCs w:val="21"/>
          <w:highlight w:val="none"/>
        </w:rPr>
        <w:t>招标内容：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1256"/>
        <w:gridCol w:w="2476"/>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2178" w:type="dxa"/>
            <w:shd w:val="clear" w:color="auto" w:fill="EEECE1"/>
            <w:vAlign w:val="center"/>
          </w:tcPr>
          <w:p>
            <w:pPr>
              <w:jc w:val="center"/>
              <w:rPr>
                <w:rFonts w:ascii="宋体"/>
                <w:b/>
                <w:color w:val="auto"/>
                <w:sz w:val="21"/>
                <w:szCs w:val="21"/>
                <w:highlight w:val="none"/>
              </w:rPr>
            </w:pPr>
            <w:r>
              <w:rPr>
                <w:rFonts w:hint="eastAsia" w:ascii="宋体"/>
                <w:b/>
                <w:color w:val="auto"/>
                <w:sz w:val="21"/>
                <w:szCs w:val="21"/>
                <w:highlight w:val="none"/>
              </w:rPr>
              <w:t>招标内容</w:t>
            </w:r>
          </w:p>
        </w:tc>
        <w:tc>
          <w:tcPr>
            <w:tcW w:w="1256" w:type="dxa"/>
            <w:shd w:val="clear" w:color="auto" w:fill="EEECE1"/>
            <w:vAlign w:val="center"/>
          </w:tcPr>
          <w:p>
            <w:pPr>
              <w:jc w:val="center"/>
              <w:rPr>
                <w:rFonts w:ascii="宋体"/>
                <w:b/>
                <w:color w:val="auto"/>
                <w:sz w:val="21"/>
                <w:szCs w:val="21"/>
                <w:highlight w:val="none"/>
              </w:rPr>
            </w:pPr>
            <w:r>
              <w:rPr>
                <w:rFonts w:hint="eastAsia" w:ascii="宋体"/>
                <w:b/>
                <w:color w:val="auto"/>
                <w:sz w:val="21"/>
                <w:szCs w:val="21"/>
                <w:highlight w:val="none"/>
              </w:rPr>
              <w:t>数量</w:t>
            </w:r>
          </w:p>
        </w:tc>
        <w:tc>
          <w:tcPr>
            <w:tcW w:w="2476" w:type="dxa"/>
            <w:shd w:val="clear" w:color="auto" w:fill="EEECE1"/>
            <w:vAlign w:val="center"/>
          </w:tcPr>
          <w:p>
            <w:pPr>
              <w:jc w:val="center"/>
              <w:rPr>
                <w:rFonts w:ascii="宋体"/>
                <w:b/>
                <w:color w:val="auto"/>
                <w:sz w:val="21"/>
                <w:szCs w:val="21"/>
                <w:highlight w:val="none"/>
              </w:rPr>
            </w:pPr>
            <w:r>
              <w:rPr>
                <w:rFonts w:hint="eastAsia" w:ascii="宋体"/>
                <w:b/>
                <w:color w:val="auto"/>
                <w:sz w:val="21"/>
                <w:szCs w:val="21"/>
                <w:highlight w:val="none"/>
              </w:rPr>
              <w:t>服务期</w:t>
            </w:r>
          </w:p>
        </w:tc>
        <w:tc>
          <w:tcPr>
            <w:tcW w:w="2828" w:type="dxa"/>
            <w:shd w:val="clear" w:color="auto" w:fill="EEECE1"/>
            <w:vAlign w:val="center"/>
          </w:tcPr>
          <w:p>
            <w:pPr>
              <w:tabs>
                <w:tab w:val="left" w:pos="-360"/>
              </w:tabs>
              <w:ind w:right="-34"/>
              <w:jc w:val="center"/>
              <w:textAlignment w:val="bottom"/>
              <w:rPr>
                <w:rFonts w:ascii="宋体" w:hAnsi="宋体"/>
                <w:b/>
                <w:color w:val="auto"/>
                <w:sz w:val="21"/>
                <w:szCs w:val="21"/>
                <w:highlight w:val="none"/>
              </w:rPr>
            </w:pPr>
            <w:r>
              <w:rPr>
                <w:rFonts w:hint="eastAsia" w:ascii="宋体" w:hAnsi="宋体"/>
                <w:b/>
                <w:color w:val="auto"/>
                <w:sz w:val="21"/>
                <w:szCs w:val="21"/>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2178" w:type="dxa"/>
            <w:vAlign w:val="center"/>
          </w:tcPr>
          <w:p>
            <w:pPr>
              <w:jc w:val="center"/>
              <w:rPr>
                <w:rFonts w:ascii="宋体"/>
                <w:bCs/>
                <w:color w:val="auto"/>
                <w:sz w:val="21"/>
                <w:szCs w:val="21"/>
                <w:highlight w:val="none"/>
              </w:rPr>
            </w:pPr>
            <w:r>
              <w:rPr>
                <w:rFonts w:hint="eastAsia" w:ascii="宋体" w:hAnsi="宋体"/>
                <w:color w:val="auto"/>
                <w:kern w:val="28"/>
                <w:sz w:val="21"/>
                <w:szCs w:val="21"/>
                <w:highlight w:val="none"/>
              </w:rPr>
              <w:t>中山市火炬科学技术学校小卖部承包项目</w:t>
            </w:r>
          </w:p>
        </w:tc>
        <w:tc>
          <w:tcPr>
            <w:tcW w:w="1256" w:type="dxa"/>
            <w:vAlign w:val="center"/>
          </w:tcPr>
          <w:p>
            <w:pPr>
              <w:jc w:val="center"/>
              <w:rPr>
                <w:rFonts w:ascii="宋体"/>
                <w:bCs/>
                <w:color w:val="auto"/>
                <w:sz w:val="21"/>
                <w:szCs w:val="21"/>
                <w:highlight w:val="none"/>
              </w:rPr>
            </w:pPr>
            <w:r>
              <w:rPr>
                <w:rFonts w:hint="eastAsia" w:ascii="宋体"/>
                <w:bCs/>
                <w:color w:val="auto"/>
                <w:sz w:val="21"/>
                <w:szCs w:val="21"/>
                <w:highlight w:val="none"/>
              </w:rPr>
              <w:t>1项</w:t>
            </w:r>
          </w:p>
        </w:tc>
        <w:tc>
          <w:tcPr>
            <w:tcW w:w="2476" w:type="dxa"/>
            <w:vAlign w:val="center"/>
          </w:tcPr>
          <w:p>
            <w:pPr>
              <w:pStyle w:val="28"/>
              <w:spacing w:before="0" w:after="0" w:line="240" w:lineRule="auto"/>
              <w:ind w:hanging="67"/>
              <w:rPr>
                <w:rFonts w:ascii="宋体"/>
                <w:bCs/>
                <w:color w:val="auto"/>
                <w:spacing w:val="0"/>
                <w:kern w:val="2"/>
                <w:sz w:val="21"/>
                <w:szCs w:val="21"/>
                <w:highlight w:val="none"/>
              </w:rPr>
            </w:pPr>
            <w:r>
              <w:rPr>
                <w:rFonts w:hint="eastAsia" w:ascii="宋体"/>
                <w:bCs/>
                <w:color w:val="auto"/>
                <w:spacing w:val="0"/>
                <w:kern w:val="2"/>
                <w:sz w:val="21"/>
                <w:szCs w:val="21"/>
                <w:highlight w:val="none"/>
              </w:rPr>
              <w:t>签订合同之日起三年，</w:t>
            </w:r>
            <w:r>
              <w:rPr>
                <w:rFonts w:hint="eastAsia" w:ascii="宋体" w:hAnsi="宋体" w:cs="Tahoma"/>
                <w:color w:val="auto"/>
                <w:sz w:val="21"/>
                <w:szCs w:val="21"/>
                <w:highlight w:val="none"/>
              </w:rPr>
              <w:t>一年一签</w:t>
            </w:r>
          </w:p>
        </w:tc>
        <w:tc>
          <w:tcPr>
            <w:tcW w:w="2828" w:type="dxa"/>
            <w:vAlign w:val="center"/>
          </w:tcPr>
          <w:p>
            <w:pPr>
              <w:tabs>
                <w:tab w:val="left" w:pos="-360"/>
              </w:tabs>
              <w:ind w:right="-34"/>
              <w:textAlignment w:val="bottom"/>
              <w:rPr>
                <w:rFonts w:ascii="宋体" w:hAnsi="宋体"/>
                <w:color w:val="auto"/>
                <w:kern w:val="28"/>
                <w:sz w:val="21"/>
                <w:szCs w:val="21"/>
                <w:highlight w:val="none"/>
              </w:rPr>
            </w:pPr>
            <w:r>
              <w:rPr>
                <w:rFonts w:hint="eastAsia" w:ascii="宋体" w:hAnsi="宋体"/>
                <w:color w:val="auto"/>
                <w:kern w:val="28"/>
                <w:sz w:val="21"/>
                <w:szCs w:val="21"/>
                <w:highlight w:val="none"/>
              </w:rPr>
              <w:t>1.中山市火炬科学技术学校（开发区校区）</w:t>
            </w:r>
          </w:p>
          <w:p>
            <w:pPr>
              <w:tabs>
                <w:tab w:val="left" w:pos="-360"/>
              </w:tabs>
              <w:ind w:right="-34"/>
              <w:textAlignment w:val="bottom"/>
              <w:rPr>
                <w:rFonts w:ascii="宋体" w:hAnsi="宋体"/>
                <w:color w:val="auto"/>
                <w:kern w:val="28"/>
                <w:sz w:val="21"/>
                <w:szCs w:val="21"/>
                <w:highlight w:val="none"/>
              </w:rPr>
            </w:pPr>
            <w:r>
              <w:rPr>
                <w:rFonts w:hint="eastAsia" w:ascii="宋体" w:hAnsi="宋体"/>
                <w:color w:val="auto"/>
                <w:kern w:val="28"/>
                <w:sz w:val="21"/>
                <w:szCs w:val="21"/>
                <w:highlight w:val="none"/>
              </w:rPr>
              <w:t>2.中山市火炬科学技术学校（南朗校区）</w:t>
            </w:r>
          </w:p>
        </w:tc>
      </w:tr>
    </w:tbl>
    <w:p>
      <w:pPr>
        <w:pStyle w:val="19"/>
        <w:numPr>
          <w:ilvl w:val="0"/>
          <w:numId w:val="9"/>
        </w:numPr>
        <w:tabs>
          <w:tab w:val="left" w:pos="400"/>
        </w:tabs>
        <w:ind w:left="458" w:hanging="458" w:hangingChars="190"/>
        <w:rPr>
          <w:rFonts w:ascii="宋体" w:hAnsi="宋体" w:cs="宋体"/>
          <w:b/>
          <w:color w:val="auto"/>
          <w:highlight w:val="none"/>
        </w:rPr>
      </w:pPr>
      <w:r>
        <w:rPr>
          <w:rFonts w:hint="eastAsia" w:ascii="宋体" w:hAnsi="宋体" w:cs="宋体"/>
          <w:b/>
          <w:color w:val="auto"/>
          <w:highlight w:val="none"/>
        </w:rPr>
        <w:t>总则</w:t>
      </w:r>
    </w:p>
    <w:p>
      <w:pPr>
        <w:numPr>
          <w:ilvl w:val="6"/>
          <w:numId w:val="11"/>
        </w:numPr>
        <w:tabs>
          <w:tab w:val="left" w:pos="424"/>
          <w:tab w:val="clear" w:pos="3240"/>
        </w:tabs>
        <w:spacing w:line="460" w:lineRule="atLeast"/>
        <w:ind w:left="424" w:hanging="424"/>
        <w:rPr>
          <w:rFonts w:ascii="宋体" w:hAnsi="宋体" w:cs="宋体"/>
          <w:color w:val="auto"/>
          <w:sz w:val="21"/>
          <w:szCs w:val="21"/>
          <w:highlight w:val="none"/>
        </w:rPr>
      </w:pPr>
      <w:r>
        <w:rPr>
          <w:rFonts w:hint="eastAsia" w:ascii="宋体" w:hAnsi="宋体" w:cs="宋体"/>
          <w:color w:val="auto"/>
          <w:sz w:val="21"/>
          <w:szCs w:val="21"/>
          <w:highlight w:val="none"/>
        </w:rPr>
        <w:t>本次招标的项目范围：中山市火炬科学技术学校开发区校区、南朗校区</w:t>
      </w:r>
      <w:r>
        <w:rPr>
          <w:rFonts w:hint="eastAsia" w:ascii="宋体" w:hAnsi="宋体" w:cs="宋体"/>
          <w:color w:val="auto"/>
          <w:kern w:val="28"/>
          <w:sz w:val="21"/>
          <w:szCs w:val="21"/>
          <w:highlight w:val="none"/>
        </w:rPr>
        <w:t>小卖部</w:t>
      </w:r>
      <w:r>
        <w:rPr>
          <w:rFonts w:hint="eastAsia" w:ascii="宋体" w:hAnsi="宋体" w:cs="宋体"/>
          <w:color w:val="auto"/>
          <w:sz w:val="21"/>
          <w:szCs w:val="21"/>
          <w:highlight w:val="none"/>
        </w:rPr>
        <w:t>承包经营权。</w:t>
      </w:r>
    </w:p>
    <w:p>
      <w:pPr>
        <w:numPr>
          <w:ilvl w:val="6"/>
          <w:numId w:val="11"/>
        </w:numPr>
        <w:tabs>
          <w:tab w:val="left" w:pos="424"/>
          <w:tab w:val="clear" w:pos="3240"/>
        </w:tabs>
        <w:spacing w:line="460" w:lineRule="atLeast"/>
        <w:ind w:left="424" w:hanging="424"/>
        <w:rPr>
          <w:rFonts w:ascii="宋体" w:hAnsi="宋体" w:cs="宋体"/>
          <w:color w:val="auto"/>
          <w:sz w:val="21"/>
          <w:szCs w:val="21"/>
          <w:highlight w:val="none"/>
        </w:rPr>
      </w:pPr>
      <w:r>
        <w:rPr>
          <w:rFonts w:hint="eastAsia" w:ascii="宋体" w:hAnsi="宋体" w:cs="宋体"/>
          <w:color w:val="auto"/>
          <w:sz w:val="21"/>
          <w:szCs w:val="21"/>
          <w:highlight w:val="none"/>
        </w:rPr>
        <w:t>学校概况：中山市火炬科学技术学校是一所全日制公办省级重点职业学校，坐落于粤港澳大湾区腹地的中山市东部片区。学校实行一校两区办学，现有开发区和南朗两个校区。学校占地面积近200亩，建筑面积近8万平方米。两校区现有在编在职教职员工188人，学生3341人，共71个班级，高三级学生顶岗实习不在学校。</w:t>
      </w:r>
    </w:p>
    <w:p>
      <w:pPr>
        <w:numPr>
          <w:ilvl w:val="6"/>
          <w:numId w:val="11"/>
        </w:numPr>
        <w:tabs>
          <w:tab w:val="left" w:pos="424"/>
          <w:tab w:val="clear" w:pos="3240"/>
        </w:tabs>
        <w:spacing w:line="460" w:lineRule="atLeast"/>
        <w:ind w:left="424" w:hanging="424"/>
        <w:rPr>
          <w:rFonts w:ascii="宋体" w:hAnsi="宋体" w:cs="宋体"/>
          <w:color w:val="auto"/>
          <w:sz w:val="21"/>
          <w:szCs w:val="21"/>
          <w:highlight w:val="none"/>
        </w:rPr>
      </w:pPr>
      <w:r>
        <w:rPr>
          <w:rFonts w:hint="eastAsia" w:ascii="宋体" w:hAnsi="宋体" w:cs="宋体"/>
          <w:color w:val="auto"/>
          <w:sz w:val="21"/>
          <w:szCs w:val="21"/>
          <w:highlight w:val="none"/>
        </w:rPr>
        <w:t>采用全包干的方式承包，由中标人承包及负责招标文件对中标人要求的一切事宜及责任，自负盈亏。中标人工作人员的工资福利、工伤赔偿、社保等由中标人负责。</w:t>
      </w:r>
    </w:p>
    <w:p>
      <w:pPr>
        <w:numPr>
          <w:ilvl w:val="6"/>
          <w:numId w:val="11"/>
        </w:numPr>
        <w:tabs>
          <w:tab w:val="left" w:pos="424"/>
          <w:tab w:val="clear" w:pos="3240"/>
        </w:tabs>
        <w:spacing w:line="460" w:lineRule="atLeast"/>
        <w:ind w:left="424" w:hanging="424"/>
        <w:rPr>
          <w:rFonts w:ascii="宋体" w:hAnsi="宋体" w:cs="宋体"/>
          <w:color w:val="auto"/>
          <w:sz w:val="21"/>
          <w:szCs w:val="21"/>
          <w:highlight w:val="none"/>
        </w:rPr>
      </w:pPr>
      <w:r>
        <w:rPr>
          <w:rFonts w:hint="eastAsia" w:ascii="宋体" w:hAnsi="宋体" w:cs="宋体"/>
          <w:color w:val="auto"/>
          <w:sz w:val="21"/>
          <w:szCs w:val="21"/>
          <w:highlight w:val="none"/>
        </w:rPr>
        <w:t>中标人不得再以任何方式转包或分包。中标人工作人员需遵守相关法律法规及校规校纪，要有良好的服务态度，不能与师生发生争吵或冲突，如发现违规者或收到师生投诉的，招标人有权视情节提出处理意见，如严重影响学校正常校园管理工作，招标人有权与中标人解除服务合同，中标人收到解除合同通知后应按规定时间撤场。</w:t>
      </w:r>
    </w:p>
    <w:p>
      <w:pPr>
        <w:numPr>
          <w:ilvl w:val="6"/>
          <w:numId w:val="11"/>
        </w:numPr>
        <w:tabs>
          <w:tab w:val="left" w:pos="424"/>
          <w:tab w:val="clear" w:pos="3240"/>
        </w:tabs>
        <w:spacing w:line="460" w:lineRule="atLeast"/>
        <w:ind w:left="424" w:hanging="424"/>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招标人有权按照上级文件规定实时修订合同内容，中标人应无条件同意，同时承担因修订合同内容导致的售卖收入减少等风险。</w:t>
      </w:r>
    </w:p>
    <w:p>
      <w:pPr>
        <w:numPr>
          <w:ilvl w:val="6"/>
          <w:numId w:val="11"/>
        </w:numPr>
        <w:tabs>
          <w:tab w:val="left" w:pos="424"/>
          <w:tab w:val="clear" w:pos="3240"/>
        </w:tabs>
        <w:spacing w:line="460" w:lineRule="atLeast"/>
        <w:ind w:left="424" w:hanging="424"/>
        <w:rPr>
          <w:rFonts w:ascii="宋体" w:hAnsi="宋体" w:cs="宋体"/>
          <w:color w:val="auto"/>
          <w:sz w:val="21"/>
          <w:szCs w:val="21"/>
          <w:highlight w:val="none"/>
        </w:rPr>
      </w:pPr>
      <w:r>
        <w:rPr>
          <w:rFonts w:hint="eastAsia" w:ascii="宋体" w:hAnsi="宋体" w:cs="宋体"/>
          <w:color w:val="auto"/>
          <w:sz w:val="21"/>
          <w:szCs w:val="21"/>
          <w:highlight w:val="none"/>
        </w:rPr>
        <w:t>投标人承诺：经营者的经营活动必须遵循《中华人民共和国食品安全法》等相关法律法规，保证进货渠道为合法进货渠道，如承包期间发生食品安全事故的，中标人应承担全部责任，包括但不限于消费者的索赔及招标人因此受到的损失。</w:t>
      </w:r>
    </w:p>
    <w:p>
      <w:pPr>
        <w:numPr>
          <w:ilvl w:val="6"/>
          <w:numId w:val="11"/>
        </w:numPr>
        <w:tabs>
          <w:tab w:val="left" w:pos="424"/>
          <w:tab w:val="clear" w:pos="3240"/>
        </w:tabs>
        <w:spacing w:line="460" w:lineRule="atLeast"/>
        <w:ind w:left="424" w:hanging="424"/>
        <w:rPr>
          <w:rFonts w:ascii="宋体" w:hAnsi="宋体" w:cs="宋体"/>
          <w:color w:val="auto"/>
          <w:sz w:val="21"/>
          <w:szCs w:val="21"/>
          <w:highlight w:val="none"/>
        </w:rPr>
      </w:pPr>
      <w:r>
        <w:rPr>
          <w:rFonts w:hint="eastAsia" w:ascii="宋体" w:hAnsi="宋体" w:cs="宋体"/>
          <w:color w:val="auto"/>
          <w:sz w:val="21"/>
          <w:szCs w:val="21"/>
          <w:highlight w:val="none"/>
        </w:rPr>
        <w:t>各潜在投标人可自行对项目现场及周围环境进行勘察，以便投标人获取有关编制投标文件和签署合同所需的资料，勘察现场所发生的费用由投标人自己承担。</w:t>
      </w:r>
    </w:p>
    <w:p>
      <w:pPr>
        <w:pStyle w:val="19"/>
        <w:numPr>
          <w:ilvl w:val="0"/>
          <w:numId w:val="9"/>
        </w:numPr>
        <w:tabs>
          <w:tab w:val="left" w:pos="400"/>
        </w:tabs>
        <w:ind w:left="401" w:hanging="401" w:hangingChars="190"/>
        <w:rPr>
          <w:rFonts w:ascii="宋体" w:hAnsi="宋体" w:cs="宋体"/>
          <w:b/>
          <w:color w:val="auto"/>
          <w:sz w:val="21"/>
          <w:szCs w:val="21"/>
          <w:highlight w:val="none"/>
        </w:rPr>
      </w:pPr>
      <w:r>
        <w:rPr>
          <w:rFonts w:hint="eastAsia" w:ascii="宋体" w:hAnsi="宋体" w:cs="宋体"/>
          <w:b/>
          <w:color w:val="auto"/>
          <w:sz w:val="21"/>
          <w:szCs w:val="21"/>
          <w:highlight w:val="none"/>
        </w:rPr>
        <w:t>★报价方式：</w:t>
      </w:r>
    </w:p>
    <w:p>
      <w:pPr>
        <w:numPr>
          <w:ilvl w:val="0"/>
          <w:numId w:val="12"/>
        </w:numPr>
        <w:tabs>
          <w:tab w:val="left" w:pos="720"/>
        </w:tabs>
        <w:spacing w:line="360" w:lineRule="auto"/>
        <w:rPr>
          <w:rFonts w:ascii="宋体" w:hAnsi="宋体" w:cs="宋体"/>
          <w:color w:val="auto"/>
          <w:sz w:val="21"/>
          <w:szCs w:val="21"/>
          <w:highlight w:val="none"/>
        </w:rPr>
      </w:pPr>
      <w:r>
        <w:rPr>
          <w:rFonts w:hint="eastAsia" w:ascii="宋体" w:hAnsi="宋体" w:cs="宋体"/>
          <w:color w:val="auto"/>
          <w:kern w:val="2"/>
          <w:sz w:val="21"/>
          <w:szCs w:val="21"/>
          <w:highlight w:val="none"/>
        </w:rPr>
        <w:t>投标</w:t>
      </w:r>
      <w:r>
        <w:rPr>
          <w:rFonts w:hint="eastAsia" w:ascii="宋体" w:hAnsi="宋体" w:cs="宋体"/>
          <w:color w:val="auto"/>
          <w:sz w:val="21"/>
          <w:szCs w:val="21"/>
          <w:highlight w:val="none"/>
        </w:rPr>
        <w:t>报价为：采用折扣率进行报价，折扣率不得高于100%。中标人销售价＝经确定的市场单价×中标折扣率，（例如：中标人售卖1瓶矿泉水，根据市场单价（或物价局定价）的价格，以3元/瓶为例，若中标折扣率为90%，零售价计算如下：1瓶×3元×90%＝2.7元）</w:t>
      </w:r>
    </w:p>
    <w:p>
      <w:pPr>
        <w:numPr>
          <w:ilvl w:val="0"/>
          <w:numId w:val="12"/>
        </w:numPr>
        <w:tabs>
          <w:tab w:val="left" w:pos="720"/>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投标报价折扣率包括货物、包装、运输、保险、税费、经营管理及其他所有相关服务费用。</w:t>
      </w:r>
    </w:p>
    <w:p>
      <w:pPr>
        <w:numPr>
          <w:ilvl w:val="0"/>
          <w:numId w:val="12"/>
        </w:numPr>
        <w:tabs>
          <w:tab w:val="left" w:pos="720"/>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中标人应提供优惠的价格，即不能高于当月市场的平均价格或政府指导价，价格表招标人每月确认一次，通过市场调查（以华润万家、沃尔玛、壹加壹超市平均零售价格为准），由双方确定市场单价。</w:t>
      </w:r>
    </w:p>
    <w:p>
      <w:pPr>
        <w:numPr>
          <w:ilvl w:val="0"/>
          <w:numId w:val="12"/>
        </w:numPr>
        <w:tabs>
          <w:tab w:val="left" w:pos="720"/>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由中标人承包及负责招标文件对中标人要求的一切事宜及责任，自负盈亏，招标人不再支付任何费用补贴。</w:t>
      </w:r>
    </w:p>
    <w:p>
      <w:pPr>
        <w:numPr>
          <w:ilvl w:val="0"/>
          <w:numId w:val="12"/>
        </w:numPr>
        <w:tabs>
          <w:tab w:val="left" w:pos="720"/>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水、电费按市价标准根据实际使用量收取，由中标人支付。</w:t>
      </w:r>
    </w:p>
    <w:p>
      <w:pPr>
        <w:numPr>
          <w:ilvl w:val="0"/>
          <w:numId w:val="12"/>
        </w:numPr>
        <w:tabs>
          <w:tab w:val="left" w:pos="720"/>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以投标折扣率作为价格分的评审依据。</w:t>
      </w:r>
    </w:p>
    <w:p>
      <w:pPr>
        <w:pStyle w:val="19"/>
        <w:numPr>
          <w:ilvl w:val="0"/>
          <w:numId w:val="9"/>
        </w:numPr>
        <w:tabs>
          <w:tab w:val="left" w:pos="400"/>
        </w:tabs>
        <w:ind w:left="401" w:hanging="401" w:hangingChars="190"/>
        <w:rPr>
          <w:rFonts w:ascii="宋体" w:hAnsi="宋体" w:cs="宋体"/>
          <w:b/>
          <w:color w:val="auto"/>
          <w:sz w:val="21"/>
          <w:szCs w:val="21"/>
          <w:highlight w:val="none"/>
        </w:rPr>
      </w:pPr>
      <w:r>
        <w:rPr>
          <w:rFonts w:hint="eastAsia" w:ascii="宋体" w:hAnsi="宋体" w:cs="宋体"/>
          <w:b/>
          <w:color w:val="auto"/>
          <w:sz w:val="21"/>
          <w:szCs w:val="21"/>
          <w:highlight w:val="none"/>
        </w:rPr>
        <w:t>项目具体要求</w:t>
      </w:r>
    </w:p>
    <w:p>
      <w:pPr>
        <w:numPr>
          <w:ilvl w:val="6"/>
          <w:numId w:val="13"/>
        </w:numPr>
        <w:tabs>
          <w:tab w:val="left" w:pos="424"/>
          <w:tab w:val="clear" w:pos="3240"/>
        </w:tabs>
        <w:spacing w:line="360" w:lineRule="auto"/>
        <w:ind w:left="424" w:hanging="424"/>
        <w:rPr>
          <w:rFonts w:ascii="宋体" w:hAnsi="宋体" w:cs="宋体"/>
          <w:color w:val="auto"/>
          <w:sz w:val="21"/>
          <w:szCs w:val="21"/>
          <w:highlight w:val="none"/>
        </w:rPr>
      </w:pPr>
      <w:r>
        <w:rPr>
          <w:rFonts w:hint="eastAsia" w:ascii="宋体" w:hAnsi="宋体" w:cs="宋体"/>
          <w:color w:val="auto"/>
          <w:sz w:val="21"/>
          <w:szCs w:val="21"/>
          <w:highlight w:val="none"/>
        </w:rPr>
        <w:t>经营范围：</w:t>
      </w:r>
    </w:p>
    <w:p>
      <w:pPr>
        <w:spacing w:line="360" w:lineRule="auto"/>
        <w:ind w:left="40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经营范围为纯净水、矿泉水、牛奶</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牛奶蛋白质含量要求：每100毫升牛奶的蛋白质含量必须大于2.5克。如需增加售卖其它食品，招标人按照上级文件规定，另行与中标人签订补充协议及售卖清单后方能上架售卖。</w:t>
      </w:r>
    </w:p>
    <w:p>
      <w:pPr>
        <w:numPr>
          <w:ilvl w:val="6"/>
          <w:numId w:val="13"/>
        </w:numPr>
        <w:tabs>
          <w:tab w:val="left" w:pos="424"/>
          <w:tab w:val="clear" w:pos="3240"/>
        </w:tabs>
        <w:spacing w:line="360" w:lineRule="auto"/>
        <w:ind w:left="424" w:hanging="424"/>
        <w:rPr>
          <w:rFonts w:ascii="宋体" w:hAnsi="宋体" w:cs="宋体"/>
          <w:color w:val="auto"/>
          <w:sz w:val="21"/>
          <w:szCs w:val="21"/>
          <w:highlight w:val="none"/>
        </w:rPr>
      </w:pPr>
      <w:r>
        <w:rPr>
          <w:rFonts w:hint="eastAsia" w:ascii="宋体" w:hAnsi="宋体" w:cs="宋体"/>
          <w:color w:val="auto"/>
          <w:sz w:val="21"/>
          <w:szCs w:val="21"/>
          <w:highlight w:val="none"/>
        </w:rPr>
        <w:t>经营方式：</w:t>
      </w:r>
    </w:p>
    <w:p>
      <w:pPr>
        <w:spacing w:line="360" w:lineRule="auto"/>
        <w:ind w:left="40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在招标人的监督下，中标者自行组织人员、自主经营、自负盈亏，对外独立承担法律责任。</w:t>
      </w:r>
    </w:p>
    <w:p>
      <w:pPr>
        <w:numPr>
          <w:ilvl w:val="6"/>
          <w:numId w:val="13"/>
        </w:numPr>
        <w:tabs>
          <w:tab w:val="left" w:pos="424"/>
          <w:tab w:val="clear" w:pos="3240"/>
        </w:tabs>
        <w:spacing w:line="360" w:lineRule="auto"/>
        <w:ind w:left="424" w:hanging="424"/>
        <w:rPr>
          <w:rFonts w:ascii="宋体" w:hAnsi="宋体" w:cs="宋体"/>
          <w:color w:val="auto"/>
          <w:sz w:val="21"/>
          <w:szCs w:val="21"/>
          <w:highlight w:val="none"/>
        </w:rPr>
      </w:pPr>
      <w:r>
        <w:rPr>
          <w:rFonts w:hint="eastAsia" w:ascii="宋体" w:hAnsi="宋体" w:cs="宋体"/>
          <w:color w:val="auto"/>
          <w:sz w:val="21"/>
          <w:szCs w:val="21"/>
          <w:highlight w:val="none"/>
        </w:rPr>
        <w:t>承包期限：</w:t>
      </w:r>
    </w:p>
    <w:p>
      <w:pPr>
        <w:spacing w:line="360" w:lineRule="auto"/>
        <w:ind w:left="40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合同总承包期为3年。采用1+1+1的方式：中标后签订一年承包合同；招标人成立工作监督小组，由监督小组负责民意调查。一年后民意调查满意度达80%以上，再续一年，以此类推，直至三年。如果不达标，招标人有权解除合同。承包到期，中标人须自动将全部设施、货物搬出。否则招标人有权采取强制措施将其搬出，不作任何补偿，因强制措施搬离的费用由中标人承担。</w:t>
      </w:r>
    </w:p>
    <w:p>
      <w:pPr>
        <w:numPr>
          <w:ilvl w:val="6"/>
          <w:numId w:val="13"/>
        </w:numPr>
        <w:tabs>
          <w:tab w:val="left" w:pos="424"/>
          <w:tab w:val="clear" w:pos="3240"/>
        </w:tabs>
        <w:spacing w:line="360" w:lineRule="auto"/>
        <w:ind w:left="424" w:hanging="424"/>
        <w:rPr>
          <w:rFonts w:ascii="宋体" w:hAnsi="宋体" w:cs="宋体"/>
          <w:color w:val="auto"/>
          <w:sz w:val="21"/>
          <w:szCs w:val="21"/>
          <w:highlight w:val="none"/>
        </w:rPr>
      </w:pPr>
      <w:r>
        <w:rPr>
          <w:rFonts w:hint="eastAsia" w:ascii="宋体" w:hAnsi="宋体" w:cs="宋体"/>
          <w:color w:val="auto"/>
          <w:sz w:val="21"/>
          <w:szCs w:val="21"/>
          <w:highlight w:val="none"/>
        </w:rPr>
        <w:t>经营要求：</w:t>
      </w:r>
    </w:p>
    <w:p>
      <w:pPr>
        <w:numPr>
          <w:ilvl w:val="0"/>
          <w:numId w:val="1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必须是连锁经营实体的直营店或者自营实体门店，中标人必须依法办理本项目经营所需的相关证照，确保证照齐全，合法经营。有关商店经营许可证、有关部门的检查以及经营相关的管理税费、保险费等由中标人自行负责。</w:t>
      </w:r>
    </w:p>
    <w:p>
      <w:pPr>
        <w:numPr>
          <w:ilvl w:val="0"/>
          <w:numId w:val="1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中标人必须自主自行经营，不得以任何方式转包、分包或转租他人，不得以挂靠方式进行经营，一经发现，招标人有权立即终止合同，所产生的一切后果均由中标人自行承担。</w:t>
      </w:r>
    </w:p>
    <w:p>
      <w:pPr>
        <w:numPr>
          <w:ilvl w:val="0"/>
          <w:numId w:val="1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中标人须以招标人整体配套项目为经营目的，配合学校服务作为经营宗旨，并服从学校管理、监督。</w:t>
      </w:r>
    </w:p>
    <w:p>
      <w:pPr>
        <w:numPr>
          <w:ilvl w:val="0"/>
          <w:numId w:val="1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中标人营业前，须自行办理经营小卖部的各种证照（即工商营业执照、卫生许可证、税务登记证等），由招标人协助提供相关资料。</w:t>
      </w:r>
    </w:p>
    <w:p>
      <w:pPr>
        <w:numPr>
          <w:ilvl w:val="0"/>
          <w:numId w:val="14"/>
        </w:numPr>
        <w:spacing w:line="360" w:lineRule="auto"/>
        <w:rPr>
          <w:rFonts w:ascii="宋体" w:hAnsi="宋体" w:cs="宋体"/>
          <w:b/>
          <w:bCs/>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中标人须严格遵守学校各项规章制度，不得售卖假冒伪劣商品、过期变质商品和高盐、高糖及高脂肪食品、酒精饮料、方便面等无益健康的食品，禁止售卖“三无食品”、“五毛食品”（即“价格低廉，口感辛辣刺激，色泽艳丽”的“调味面制品（辣条）、豆制品、肉制品、水产制品、膨化食品、糖果、饮料等”）、散装食品、自制熟食等，不销售碳酸饮料，不得超许可范围加工烤肠、冷饮、奶茶、豆浆等食品；不得向学生销售玩具，不得对含糖饮料、调味面制品等零食进行广告宣传。因出售上述产品致使消费者受到损害的，由中标人承担全部赔偿责任。</w:t>
      </w:r>
    </w:p>
    <w:p>
      <w:pPr>
        <w:numPr>
          <w:ilvl w:val="0"/>
          <w:numId w:val="1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中标人出售所有食品必须符合《</w:t>
      </w:r>
      <w:r>
        <w:rPr>
          <w:rFonts w:ascii="宋体" w:hAnsi="宋体" w:cs="宋体"/>
          <w:color w:val="auto"/>
          <w:sz w:val="21"/>
          <w:szCs w:val="21"/>
          <w:highlight w:val="none"/>
        </w:rPr>
        <w:t>中华人民共和国食品卫生法</w:t>
      </w:r>
      <w:r>
        <w:rPr>
          <w:rFonts w:hint="eastAsia" w:ascii="宋体" w:hAnsi="宋体" w:cs="宋体"/>
          <w:color w:val="auto"/>
          <w:sz w:val="21"/>
          <w:szCs w:val="21"/>
          <w:highlight w:val="none"/>
        </w:rPr>
        <w:t>》，严禁出售发霉、变质、伪劣及过期商品，如有发现，校方有权报卫生监督部门处理并即时销毁。如出现安全事故，即时取消经营资格，并追究相关的法律责任，由此而产生的后果由中标人负责。</w:t>
      </w:r>
    </w:p>
    <w:p>
      <w:pPr>
        <w:numPr>
          <w:ilvl w:val="0"/>
          <w:numId w:val="1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若师生因饮食小卖部的食品而食物中毒或出现其它事故，由中标人承担全部责任。情节严重的，招标人有权终止合同。                                                                                                                                                                                                                                                                                                                                                                                                                                                  </w:t>
      </w:r>
    </w:p>
    <w:p>
      <w:pPr>
        <w:numPr>
          <w:ilvl w:val="0"/>
          <w:numId w:val="1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严格遵守招标人作息及开放时间营业期间不得影响学生的上课。做好门前相关的卫生清洁工作。中标人须注意道德行为规范，店面从业人员要衣着整洁，注意仪表，配合招标人做好日常管理工作，接受招标人和上级部门安全、卫生、文明服务规范化等方面的监督管理，店门之外不得堆放任何百货、杂物，不得有任何因中标人经营的商品及其包装物散落乱抛造成的环境破坏。小卖部门前三包、四周50米以内的环境卫生归中标人负责打扫。</w:t>
      </w:r>
    </w:p>
    <w:p>
      <w:pPr>
        <w:numPr>
          <w:ilvl w:val="0"/>
          <w:numId w:val="1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中标人经营时间：具体经营时间由学校根据实际情况进行调整，中标人无条件服从。学生正常在校时间必须保证所有营业场所正常开放；逢节假日或学校有特殊要求时必须无条件按照学校要求对营业时间进行调整；营业时间不得随意提前或延后。</w:t>
      </w:r>
    </w:p>
    <w:p>
      <w:pPr>
        <w:numPr>
          <w:ilvl w:val="0"/>
          <w:numId w:val="1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中标人必须搞好经营场地及附近环境清洁，及时清扫食品袋、纸盒、塑料瓶、雪糕筒及杂物垃圾，做好防鼠、防蝇、防蟑螂的工作。</w:t>
      </w:r>
    </w:p>
    <w:p>
      <w:pPr>
        <w:numPr>
          <w:ilvl w:val="0"/>
          <w:numId w:val="1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中标人有责任协助学校搞好治安保卫工作，不得容许任何人在经营场地内赌博、闹事等，并协助学校搞好后勤工作。在经营期间出现任何事故的，一切责任由中标人负责。</w:t>
      </w:r>
    </w:p>
    <w:p>
      <w:pPr>
        <w:numPr>
          <w:ilvl w:val="0"/>
          <w:numId w:val="1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小卖部的水电费应实行单独计量，由中标人向有关部门缴纳水电费或将水电费转交给招标人，由招标人代缴。如逾期拖欠水电费的，招标人有权从逾期之日起收取违约金。</w:t>
      </w:r>
    </w:p>
    <w:p>
      <w:pPr>
        <w:numPr>
          <w:ilvl w:val="0"/>
          <w:numId w:val="1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招标人提供现有场地及属于学校商店现有的全部设备给中标人使用，承包期满如数归还，凡有损坏和损失要如数赔偿；如需添置设备由中标人自行负责。中标人对商店的任何改造、装修等都必须向学校提出书面申请，经校方同意后才能实施。商店内部和外围的设备设施等由中标人负责维护费用自行承担。不得在商店内生火，不得在商店内使用微波炉、烤箱等食品加工设备，不得在商店内进行食品加工行为。</w:t>
      </w:r>
    </w:p>
    <w:p>
      <w:pPr>
        <w:numPr>
          <w:ilvl w:val="0"/>
          <w:numId w:val="1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经营期间，中标人需装修包括水管电线的铺设等应先提供装修方案和图纸并征得招标人书面同意，并且在确保安全和不影响房屋主要结构的前提下进行，否则出现的安全事故由中标人负全责。因中标人过错导致合同终止或合同期满中标人未再续约的，其自行投资的固定装修物（不动资产）不能拆除，无偿归招标人所有（含天花板装修，水电管线等）。</w:t>
      </w:r>
    </w:p>
    <w:p>
      <w:pPr>
        <w:numPr>
          <w:ilvl w:val="0"/>
          <w:numId w:val="14"/>
        </w:numPr>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★签订合同前，中标人须交缴履约保证金为人民币5万元，经营期间无违约，合同期满后招标人不计利息退回保证金，违约按约定处理。</w:t>
      </w:r>
    </w:p>
    <w:p>
      <w:pPr>
        <w:numPr>
          <w:ilvl w:val="0"/>
          <w:numId w:val="1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中标人必须无条件接受学校及上级主管部门的日常管理，积极配合学校及上级相关部门的各项检查等；配备至少一名管理人员，负责与招标方的日常沟通等事宜。</w:t>
      </w:r>
    </w:p>
    <w:p>
      <w:pPr>
        <w:numPr>
          <w:ilvl w:val="0"/>
          <w:numId w:val="1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中标后中标人无正当理由不愿意与招标人签订合同的，应承担缔约过失责任，招标人有权不退回全部保证金。</w:t>
      </w:r>
    </w:p>
    <w:p>
      <w:pPr>
        <w:numPr>
          <w:ilvl w:val="0"/>
          <w:numId w:val="1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中标人在合同签订后，即在经营过程中，自负盈亏。如出现经营不善而亏损时，由中标人自行承担责任，因中标人自行中途退出的，其所交履约保证金将做违约金处理，不予退回，由此造成的全部损失由中标人承担。</w:t>
      </w:r>
    </w:p>
    <w:p>
      <w:pPr>
        <w:numPr>
          <w:ilvl w:val="0"/>
          <w:numId w:val="1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中标人应建立小卖部销售台账，负责对原材料供应商的选择、认证、评审和考核。所有原材料供应商均符合学校的要求，成为备用或选用供应商，每季度对所有供应商的服务进行考核评分，考核指标包括：货品质量、供货的及时性、性价比、响应速度等。对所有合格和被选的供应商签订合作协议、建立档案并索取所有资质资料，以备学校和相关部门查验。</w:t>
      </w:r>
    </w:p>
    <w:p>
      <w:pPr>
        <w:numPr>
          <w:ilvl w:val="0"/>
          <w:numId w:val="1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中标人所售卖的食品必须有进货单据票据，并按批次进行登记，随时接受招标人的抽查。须保留完整的票据，方便招标人对食品来源进行溯源追踪。</w:t>
      </w:r>
    </w:p>
    <w:p>
      <w:pPr>
        <w:numPr>
          <w:ilvl w:val="0"/>
          <w:numId w:val="14"/>
        </w:numPr>
        <w:spacing w:line="360" w:lineRule="auto"/>
        <w:rPr>
          <w:rFonts w:ascii="宋体" w:hAnsi="宋体" w:cs="宋体"/>
          <w:color w:val="auto"/>
          <w:sz w:val="21"/>
          <w:szCs w:val="21"/>
          <w:highlight w:val="none"/>
        </w:rPr>
      </w:pPr>
      <w:r>
        <w:rPr>
          <w:rFonts w:hint="eastAsia" w:ascii="宋体" w:hAnsi="宋体" w:cs="宋体"/>
          <w:b/>
          <w:bCs/>
          <w:color w:val="auto"/>
          <w:sz w:val="21"/>
          <w:szCs w:val="21"/>
          <w:highlight w:val="none"/>
          <w:lang w:bidi="ar"/>
        </w:rPr>
        <w:t>★</w:t>
      </w:r>
      <w:r>
        <w:rPr>
          <w:rFonts w:hint="eastAsia" w:ascii="宋体" w:hAnsi="宋体" w:cs="宋体"/>
          <w:b/>
          <w:bCs/>
          <w:color w:val="auto"/>
          <w:sz w:val="21"/>
          <w:szCs w:val="21"/>
          <w:highlight w:val="none"/>
        </w:rPr>
        <w:t>中标人须投保</w:t>
      </w:r>
      <w:r>
        <w:rPr>
          <w:rFonts w:hint="eastAsia" w:ascii="宋体" w:hAnsi="宋体" w:cs="宋体"/>
          <w:color w:val="auto"/>
          <w:sz w:val="21"/>
          <w:szCs w:val="21"/>
          <w:highlight w:val="none"/>
        </w:rPr>
        <w:t>100万元以上的食品安全责任险</w:t>
      </w:r>
      <w:r>
        <w:rPr>
          <w:rFonts w:hint="eastAsia" w:ascii="宋体" w:hAnsi="宋体" w:cs="宋体"/>
          <w:b/>
          <w:bCs/>
          <w:color w:val="auto"/>
          <w:sz w:val="21"/>
          <w:szCs w:val="21"/>
          <w:highlight w:val="none"/>
        </w:rPr>
        <w:t>，中标人为被保险人，保险有效期应包含本项目合同服务期。投标人须书面承诺中标后，在原保险合同到期时会续保同等或重新投保高于该份保险金额保障的保险；在小卖部正式营业前，须向招标人提供有效期内的保险单复印件加盖公章（投标文件需提供承诺函）。</w:t>
      </w:r>
    </w:p>
    <w:p>
      <w:pPr>
        <w:numPr>
          <w:ilvl w:val="0"/>
          <w:numId w:val="1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经营场所内允许中标人增设桌椅等设施，但中标人需勤打扫，保持设施良好干净。合同终止时，中标人需将上述增设设施一并搬离，中标人经通知仍不搬离的，由招标人处理，不作任何补偿。</w:t>
      </w:r>
    </w:p>
    <w:p>
      <w:pPr>
        <w:numPr>
          <w:ilvl w:val="0"/>
          <w:numId w:val="14"/>
        </w:numPr>
        <w:spacing w:line="360" w:lineRule="auto"/>
        <w:rPr>
          <w:rFonts w:ascii="宋体" w:hAnsi="宋体" w:cs="宋体"/>
          <w:b/>
          <w:color w:val="auto"/>
          <w:sz w:val="21"/>
          <w:szCs w:val="21"/>
          <w:highlight w:val="none"/>
        </w:rPr>
      </w:pPr>
      <w:r>
        <w:rPr>
          <w:rFonts w:hint="eastAsia" w:ascii="宋体" w:hAnsi="宋体" w:cs="宋体"/>
          <w:b/>
          <w:bCs/>
          <w:color w:val="auto"/>
          <w:sz w:val="21"/>
          <w:szCs w:val="21"/>
          <w:highlight w:val="none"/>
          <w:lang w:bidi="ar"/>
        </w:rPr>
        <w:t>★</w:t>
      </w:r>
      <w:r>
        <w:rPr>
          <w:rFonts w:hint="eastAsia" w:ascii="宋体" w:hAnsi="宋体" w:cs="宋体"/>
          <w:b/>
          <w:bCs/>
          <w:color w:val="auto"/>
          <w:sz w:val="21"/>
          <w:szCs w:val="21"/>
          <w:highlight w:val="none"/>
        </w:rPr>
        <w:t>责任方面：如因中标人所售食物造成的食物中毒等事故，由中标人承担全部法律责任。</w:t>
      </w:r>
    </w:p>
    <w:p>
      <w:pPr>
        <w:numPr>
          <w:ilvl w:val="0"/>
          <w:numId w:val="14"/>
        </w:num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中标人对聘用的员工必须严格管理，对员工的行为负全责。中标人必须将所聘员工身份信息交由招标人到当地派出所核实，避免聘用人员中出现在逃人员等违法现象。中标人如员工在学校违反学校规定、触犯国家法律等，由中标人承担全部责任。若影响学校声誉，学校有权无条件终止合同、收回承租权并没收履约保证金。</w:t>
      </w:r>
    </w:p>
    <w:p>
      <w:pPr>
        <w:numPr>
          <w:ilvl w:val="0"/>
          <w:numId w:val="14"/>
        </w:num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中标人要定期对员工进行安全、卫生要求及操作规程的培训，培训资料交学校存档。</w:t>
      </w:r>
    </w:p>
    <w:p>
      <w:pPr>
        <w:numPr>
          <w:ilvl w:val="0"/>
          <w:numId w:val="14"/>
        </w:num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中标人必须参加上级举办的各类食品卫生安全、消防安全的会议或相关培训活动。</w:t>
      </w:r>
    </w:p>
    <w:p>
      <w:pPr>
        <w:numPr>
          <w:ilvl w:val="0"/>
          <w:numId w:val="14"/>
        </w:num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中标人必须保证配备足够的工作人员，并统一着装。</w:t>
      </w:r>
    </w:p>
    <w:p>
      <w:pPr>
        <w:numPr>
          <w:ilvl w:val="0"/>
          <w:numId w:val="14"/>
        </w:num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中标人的工作人员必须身体健康并持有卫生防疫部门核发的从业健康证，每年体检一次，费用由中标人自行承担。必须为工作人员购买社保等，不得非法用工。</w:t>
      </w:r>
    </w:p>
    <w:p>
      <w:pPr>
        <w:numPr>
          <w:ilvl w:val="0"/>
          <w:numId w:val="14"/>
        </w:num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中标人与其员工发生劳资纠纷的，由中标人负责，若影响学校声誉，招标人有权无条件终止合同、收回经营权并没收履约保证金。</w:t>
      </w:r>
    </w:p>
    <w:p>
      <w:pPr>
        <w:numPr>
          <w:ilvl w:val="0"/>
          <w:numId w:val="14"/>
        </w:num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经营期内，经营区域内的一切设备设施由中标人负责管理，包括设施设备的增设、更换和保养等，经营区内必须符合消防安全相关要求，由此生产的一切费用由中标人承担。招标人有权监控管理质量。</w:t>
      </w:r>
    </w:p>
    <w:p>
      <w:pPr>
        <w:numPr>
          <w:ilvl w:val="0"/>
          <w:numId w:val="14"/>
        </w:numPr>
        <w:spacing w:line="360" w:lineRule="auto"/>
        <w:rPr>
          <w:rFonts w:ascii="宋体" w:hAnsi="宋体" w:cs="宋体"/>
          <w:color w:val="auto"/>
          <w:sz w:val="21"/>
          <w:szCs w:val="21"/>
          <w:highlight w:val="none"/>
          <w:lang w:bidi="ar"/>
        </w:rPr>
      </w:pPr>
      <w:r>
        <w:rPr>
          <w:rFonts w:hint="eastAsia" w:ascii="宋体" w:hAnsi="宋体" w:cs="宋体"/>
          <w:b/>
          <w:bCs/>
          <w:color w:val="auto"/>
          <w:sz w:val="21"/>
          <w:szCs w:val="21"/>
          <w:highlight w:val="none"/>
          <w:lang w:bidi="ar"/>
        </w:rPr>
        <w:t>★中标人必须允许师生使用学校校园卡消费。</w:t>
      </w:r>
    </w:p>
    <w:p>
      <w:pPr>
        <w:pStyle w:val="19"/>
        <w:keepNext w:val="0"/>
        <w:keepLines w:val="0"/>
        <w:pageBreakBefore w:val="0"/>
        <w:widowControl w:val="0"/>
        <w:numPr>
          <w:ilvl w:val="0"/>
          <w:numId w:val="9"/>
        </w:numPr>
        <w:tabs>
          <w:tab w:val="left" w:pos="400"/>
        </w:tabs>
        <w:kinsoku/>
        <w:wordWrap/>
        <w:overflowPunct/>
        <w:topLinePunct w:val="0"/>
        <w:bidi w:val="0"/>
        <w:snapToGrid/>
        <w:spacing w:line="384" w:lineRule="auto"/>
        <w:ind w:left="401" w:hanging="401" w:hangingChars="19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违约责任和履约保证金</w:t>
      </w:r>
    </w:p>
    <w:p>
      <w:pPr>
        <w:pStyle w:val="19"/>
        <w:keepNext w:val="0"/>
        <w:keepLines w:val="0"/>
        <w:pageBreakBefore w:val="0"/>
        <w:widowControl w:val="0"/>
        <w:numPr>
          <w:ilvl w:val="0"/>
          <w:numId w:val="15"/>
        </w:numPr>
        <w:kinsoku/>
        <w:wordWrap/>
        <w:overflowPunct/>
        <w:topLinePunct w:val="0"/>
        <w:bidi w:val="0"/>
        <w:snapToGrid/>
        <w:spacing w:line="384"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中标人必须于</w:t>
      </w:r>
      <w:r>
        <w:rPr>
          <w:rFonts w:hint="eastAsia" w:ascii="宋体" w:hAnsi="宋体" w:cs="宋体"/>
          <w:b/>
          <w:bCs/>
          <w:color w:val="auto"/>
          <w:sz w:val="21"/>
          <w:szCs w:val="21"/>
          <w:highlight w:val="none"/>
        </w:rPr>
        <w:t>签订合同前</w:t>
      </w:r>
      <w:r>
        <w:rPr>
          <w:rFonts w:hint="eastAsia" w:ascii="宋体" w:hAnsi="宋体" w:cs="宋体"/>
          <w:color w:val="auto"/>
          <w:sz w:val="21"/>
          <w:szCs w:val="21"/>
          <w:highlight w:val="none"/>
        </w:rPr>
        <w:t>，将履约保证金人民币</w:t>
      </w:r>
      <w:r>
        <w:rPr>
          <w:rFonts w:hint="eastAsia" w:ascii="宋体" w:hAnsi="宋体" w:cs="宋体"/>
          <w:b/>
          <w:bCs/>
          <w:color w:val="auto"/>
          <w:sz w:val="21"/>
          <w:szCs w:val="21"/>
          <w:highlight w:val="none"/>
        </w:rPr>
        <w:t>5万元</w:t>
      </w:r>
      <w:r>
        <w:rPr>
          <w:rFonts w:hint="eastAsia" w:ascii="宋体" w:hAnsi="宋体" w:cs="宋体"/>
          <w:color w:val="auto"/>
          <w:sz w:val="21"/>
          <w:szCs w:val="21"/>
          <w:highlight w:val="none"/>
        </w:rPr>
        <w:t>通过银行转账的形式转入招标人指定账户。否则，中标人将被视作自动放弃中标资格。</w:t>
      </w:r>
    </w:p>
    <w:p>
      <w:pPr>
        <w:pStyle w:val="19"/>
        <w:keepNext w:val="0"/>
        <w:keepLines w:val="0"/>
        <w:pageBreakBefore w:val="0"/>
        <w:widowControl w:val="0"/>
        <w:numPr>
          <w:ilvl w:val="0"/>
          <w:numId w:val="15"/>
        </w:numPr>
        <w:kinsoku/>
        <w:wordWrap/>
        <w:overflowPunct/>
        <w:topLinePunct w:val="0"/>
        <w:bidi w:val="0"/>
        <w:snapToGrid/>
        <w:spacing w:line="384"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当出现由于经营引发的师生员工安全事故，招标人有权先动用履约保证金救治，当履约保证金不够支付时，由相关部门裁定其责任及中标人应付的金额。中标人在事件完结后3个工作日内补足相应履约保证金。否则招标人有权终止合同、收回经营权并没收履约保证金。</w:t>
      </w:r>
    </w:p>
    <w:p>
      <w:pPr>
        <w:pStyle w:val="19"/>
        <w:keepNext w:val="0"/>
        <w:keepLines w:val="0"/>
        <w:pageBreakBefore w:val="0"/>
        <w:widowControl w:val="0"/>
        <w:numPr>
          <w:ilvl w:val="0"/>
          <w:numId w:val="15"/>
        </w:numPr>
        <w:kinsoku/>
        <w:wordWrap/>
        <w:overflowPunct/>
        <w:topLinePunct w:val="0"/>
        <w:bidi w:val="0"/>
        <w:snapToGrid/>
        <w:spacing w:line="384"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如中标人违反双方合同约定，招标人有权要求中标人赔偿其违约行为造成的一切实际损失，并支付相当于中标年承包金额10%的违约金，如中标人未能及时交付违约金，招标人有权先从履约保证金中扣除，中标人必须在一个星期内补足相应履约保证金。否则招标人有权终止合同、收回经营权并没收履约保证金。</w:t>
      </w:r>
    </w:p>
    <w:p>
      <w:pPr>
        <w:pStyle w:val="19"/>
        <w:keepNext w:val="0"/>
        <w:keepLines w:val="0"/>
        <w:pageBreakBefore w:val="0"/>
        <w:widowControl w:val="0"/>
        <w:numPr>
          <w:ilvl w:val="0"/>
          <w:numId w:val="15"/>
        </w:numPr>
        <w:kinsoku/>
        <w:wordWrap/>
        <w:overflowPunct/>
        <w:topLinePunct w:val="0"/>
        <w:bidi w:val="0"/>
        <w:snapToGrid/>
        <w:spacing w:line="384"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履约保证金将在合同期满，中标人结清所有费用（包括合同期间所有债务，产生的水、电费用等），并经招标人验收合格后15个工作日内一次性无息退还。如合同期内，中标人自行停止合同或违反合同有关规定被招标人终止合同的，履约保证金将全部归招标人所有。</w:t>
      </w:r>
    </w:p>
    <w:p>
      <w:pPr>
        <w:pStyle w:val="19"/>
        <w:keepNext w:val="0"/>
        <w:keepLines w:val="0"/>
        <w:pageBreakBefore w:val="0"/>
        <w:widowControl w:val="0"/>
        <w:numPr>
          <w:ilvl w:val="0"/>
          <w:numId w:val="9"/>
        </w:numPr>
        <w:tabs>
          <w:tab w:val="left" w:pos="400"/>
        </w:tabs>
        <w:kinsoku/>
        <w:wordWrap/>
        <w:overflowPunct/>
        <w:topLinePunct w:val="0"/>
        <w:bidi w:val="0"/>
        <w:snapToGrid/>
        <w:spacing w:line="384" w:lineRule="auto"/>
        <w:ind w:left="458" w:hanging="458" w:hangingChars="190"/>
        <w:textAlignment w:val="auto"/>
        <w:rPr>
          <w:rFonts w:ascii="宋体" w:hAnsi="宋体"/>
          <w:b/>
          <w:color w:val="auto"/>
          <w:szCs w:val="21"/>
          <w:highlight w:val="none"/>
        </w:rPr>
      </w:pPr>
      <w:r>
        <w:rPr>
          <w:rFonts w:hint="eastAsia" w:ascii="宋体" w:hAnsi="宋体"/>
          <w:b/>
          <w:color w:val="auto"/>
          <w:szCs w:val="21"/>
          <w:highlight w:val="none"/>
        </w:rPr>
        <w:t>其它</w:t>
      </w:r>
    </w:p>
    <w:p>
      <w:pPr>
        <w:keepNext w:val="0"/>
        <w:keepLines w:val="0"/>
        <w:pageBreakBefore w:val="0"/>
        <w:widowControl w:val="0"/>
        <w:numPr>
          <w:ilvl w:val="6"/>
          <w:numId w:val="16"/>
        </w:numPr>
        <w:tabs>
          <w:tab w:val="left" w:pos="424"/>
          <w:tab w:val="clear" w:pos="3240"/>
        </w:tabs>
        <w:kinsoku/>
        <w:wordWrap/>
        <w:overflowPunct/>
        <w:topLinePunct w:val="0"/>
        <w:bidi w:val="0"/>
        <w:snapToGrid/>
        <w:spacing w:line="384" w:lineRule="auto"/>
        <w:ind w:left="425" w:hanging="424"/>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特别说明：如因上级政策变化调整，则按照新的文件政策执行，中标人无条件执行。</w:t>
      </w:r>
    </w:p>
    <w:p>
      <w:pPr>
        <w:keepNext w:val="0"/>
        <w:keepLines w:val="0"/>
        <w:pageBreakBefore w:val="0"/>
        <w:widowControl w:val="0"/>
        <w:numPr>
          <w:ilvl w:val="6"/>
          <w:numId w:val="16"/>
        </w:numPr>
        <w:tabs>
          <w:tab w:val="left" w:pos="424"/>
          <w:tab w:val="clear" w:pos="3240"/>
        </w:tabs>
        <w:kinsoku/>
        <w:wordWrap/>
        <w:overflowPunct/>
        <w:topLinePunct w:val="0"/>
        <w:bidi w:val="0"/>
        <w:snapToGrid/>
        <w:spacing w:line="384" w:lineRule="auto"/>
        <w:ind w:left="425" w:hanging="424"/>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处罚：</w:t>
      </w:r>
    </w:p>
    <w:p>
      <w:pPr>
        <w:keepNext w:val="0"/>
        <w:keepLines w:val="0"/>
        <w:pageBreakBefore w:val="0"/>
        <w:widowControl w:val="0"/>
        <w:numPr>
          <w:ilvl w:val="0"/>
          <w:numId w:val="17"/>
        </w:numPr>
        <w:tabs>
          <w:tab w:val="left" w:pos="420"/>
        </w:tabs>
        <w:kinsoku/>
        <w:wordWrap/>
        <w:overflowPunct/>
        <w:topLinePunct w:val="0"/>
        <w:bidi w:val="0"/>
        <w:snapToGrid/>
        <w:spacing w:line="384" w:lineRule="auto"/>
        <w:ind w:left="425"/>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中标人销售商品的价格高于中标规定的折扣价的，处以2倍商品价格的罚款。</w:t>
      </w:r>
    </w:p>
    <w:p>
      <w:pPr>
        <w:keepNext w:val="0"/>
        <w:keepLines w:val="0"/>
        <w:pageBreakBefore w:val="0"/>
        <w:widowControl w:val="0"/>
        <w:numPr>
          <w:ilvl w:val="0"/>
          <w:numId w:val="17"/>
        </w:numPr>
        <w:tabs>
          <w:tab w:val="left" w:pos="420"/>
        </w:tabs>
        <w:kinsoku/>
        <w:wordWrap/>
        <w:overflowPunct/>
        <w:topLinePunct w:val="0"/>
        <w:bidi w:val="0"/>
        <w:snapToGrid/>
        <w:spacing w:line="384" w:lineRule="auto"/>
        <w:ind w:left="425"/>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中标人销售过期或变质等食品，处以10倍商品价格的罚款。</w:t>
      </w:r>
    </w:p>
    <w:p>
      <w:pPr>
        <w:pStyle w:val="19"/>
        <w:tabs>
          <w:tab w:val="left" w:pos="400"/>
        </w:tabs>
        <w:rPr>
          <w:color w:val="auto"/>
          <w:highlight w:val="none"/>
        </w:rPr>
      </w:pPr>
    </w:p>
    <w:p>
      <w:pPr>
        <w:pStyle w:val="19"/>
        <w:tabs>
          <w:tab w:val="left" w:pos="360"/>
          <w:tab w:val="left" w:pos="400"/>
        </w:tabs>
        <w:rPr>
          <w:color w:val="auto"/>
          <w:highlight w:val="none"/>
        </w:rPr>
        <w:sectPr>
          <w:pgSz w:w="11906" w:h="16838"/>
          <w:pgMar w:top="1240" w:right="1134" w:bottom="1134" w:left="1334" w:header="284" w:footer="725" w:gutter="0"/>
          <w:pgNumType w:fmt="decimal"/>
          <w:cols w:space="720" w:num="1"/>
          <w:titlePg/>
          <w:docGrid w:type="lines" w:linePitch="312" w:charSpace="0"/>
        </w:sectPr>
      </w:pPr>
    </w:p>
    <w:p>
      <w:pPr>
        <w:pStyle w:val="19"/>
        <w:rPr>
          <w:color w:val="auto"/>
          <w:highlight w:val="none"/>
        </w:rPr>
      </w:pPr>
    </w:p>
    <w:p>
      <w:pPr>
        <w:snapToGrid w:val="0"/>
        <w:spacing w:line="360" w:lineRule="auto"/>
        <w:jc w:val="center"/>
        <w:outlineLvl w:val="0"/>
        <w:rPr>
          <w:rFonts w:ascii="宋体" w:hAnsi="宋体" w:cs="宋体"/>
          <w:b/>
          <w:bCs/>
          <w:color w:val="auto"/>
          <w:sz w:val="30"/>
          <w:szCs w:val="30"/>
          <w:highlight w:val="none"/>
        </w:rPr>
      </w:pPr>
    </w:p>
    <w:p>
      <w:pPr>
        <w:snapToGrid w:val="0"/>
        <w:spacing w:line="360" w:lineRule="auto"/>
        <w:jc w:val="center"/>
        <w:outlineLvl w:val="0"/>
        <w:rPr>
          <w:rFonts w:ascii="宋体" w:hAnsi="宋体" w:cs="宋体"/>
          <w:b/>
          <w:bCs/>
          <w:color w:val="auto"/>
          <w:sz w:val="30"/>
          <w:szCs w:val="30"/>
          <w:highlight w:val="none"/>
        </w:rPr>
      </w:pPr>
    </w:p>
    <w:p>
      <w:pPr>
        <w:snapToGrid w:val="0"/>
        <w:spacing w:line="360" w:lineRule="auto"/>
        <w:jc w:val="center"/>
        <w:outlineLvl w:val="0"/>
        <w:rPr>
          <w:rFonts w:ascii="宋体" w:hAnsi="宋体" w:cs="宋体"/>
          <w:b/>
          <w:bCs/>
          <w:color w:val="auto"/>
          <w:sz w:val="30"/>
          <w:szCs w:val="30"/>
          <w:highlight w:val="none"/>
        </w:rPr>
      </w:pPr>
    </w:p>
    <w:p>
      <w:pPr>
        <w:snapToGrid w:val="0"/>
        <w:spacing w:line="360" w:lineRule="auto"/>
        <w:jc w:val="center"/>
        <w:outlineLvl w:val="0"/>
        <w:rPr>
          <w:rFonts w:ascii="宋体" w:hAnsi="宋体" w:cs="宋体"/>
          <w:b/>
          <w:bCs/>
          <w:color w:val="auto"/>
          <w:sz w:val="30"/>
          <w:szCs w:val="30"/>
          <w:highlight w:val="none"/>
        </w:rPr>
      </w:pPr>
    </w:p>
    <w:p>
      <w:pPr>
        <w:snapToGrid w:val="0"/>
        <w:spacing w:line="360" w:lineRule="auto"/>
        <w:jc w:val="both"/>
        <w:outlineLvl w:val="0"/>
        <w:rPr>
          <w:rFonts w:ascii="宋体" w:hAnsi="宋体" w:cs="宋体"/>
          <w:b/>
          <w:bCs/>
          <w:color w:val="auto"/>
          <w:sz w:val="30"/>
          <w:szCs w:val="30"/>
          <w:highlight w:val="none"/>
        </w:rPr>
      </w:pPr>
    </w:p>
    <w:p>
      <w:pPr>
        <w:snapToGrid w:val="0"/>
        <w:spacing w:line="360" w:lineRule="auto"/>
        <w:jc w:val="center"/>
        <w:outlineLvl w:val="0"/>
        <w:rPr>
          <w:rFonts w:ascii="宋体" w:hAnsi="宋体" w:cs="宋体"/>
          <w:b/>
          <w:bCs/>
          <w:color w:val="auto"/>
          <w:sz w:val="30"/>
          <w:szCs w:val="30"/>
          <w:highlight w:val="none"/>
        </w:rPr>
      </w:pPr>
    </w:p>
    <w:p>
      <w:pPr>
        <w:snapToGrid w:val="0"/>
        <w:spacing w:line="360" w:lineRule="auto"/>
        <w:jc w:val="center"/>
        <w:outlineLvl w:val="0"/>
        <w:rPr>
          <w:rFonts w:ascii="宋体" w:hAnsi="宋体" w:cs="宋体"/>
          <w:b/>
          <w:bCs/>
          <w:color w:val="auto"/>
          <w:sz w:val="30"/>
          <w:szCs w:val="30"/>
          <w:highlight w:val="none"/>
        </w:rPr>
      </w:pPr>
    </w:p>
    <w:p>
      <w:pPr>
        <w:snapToGrid w:val="0"/>
        <w:spacing w:line="360" w:lineRule="auto"/>
        <w:jc w:val="center"/>
        <w:outlineLvl w:val="0"/>
        <w:rPr>
          <w:rFonts w:ascii="宋体" w:hAnsi="宋体" w:cs="宋体"/>
          <w:b/>
          <w:bCs/>
          <w:color w:val="auto"/>
          <w:sz w:val="30"/>
          <w:szCs w:val="30"/>
          <w:highlight w:val="none"/>
        </w:rPr>
      </w:pPr>
    </w:p>
    <w:p>
      <w:pPr>
        <w:pStyle w:val="19"/>
        <w:jc w:val="center"/>
        <w:rPr>
          <w:color w:val="auto"/>
          <w:sz w:val="56"/>
          <w:szCs w:val="56"/>
          <w:highlight w:val="none"/>
        </w:rPr>
      </w:pPr>
    </w:p>
    <w:p>
      <w:pPr>
        <w:snapToGrid w:val="0"/>
        <w:spacing w:line="360" w:lineRule="auto"/>
        <w:jc w:val="center"/>
        <w:outlineLvl w:val="0"/>
        <w:rPr>
          <w:rFonts w:ascii="宋体" w:hAnsi="宋体" w:cs="宋体"/>
          <w:b/>
          <w:bCs/>
          <w:color w:val="auto"/>
          <w:sz w:val="40"/>
          <w:szCs w:val="40"/>
          <w:highlight w:val="none"/>
        </w:rPr>
        <w:sectPr>
          <w:pgSz w:w="11906" w:h="16838"/>
          <w:pgMar w:top="1134" w:right="1134" w:bottom="1134" w:left="1134" w:header="851" w:footer="725" w:gutter="0"/>
          <w:pgNumType w:fmt="decimal"/>
          <w:cols w:space="720" w:num="1"/>
          <w:titlePg/>
          <w:docGrid w:type="lines" w:linePitch="312" w:charSpace="0"/>
        </w:sectPr>
      </w:pPr>
      <w:bookmarkStart w:id="4" w:name="_Toc4406"/>
      <w:r>
        <w:rPr>
          <w:rFonts w:hint="eastAsia" w:ascii="宋体" w:hAnsi="宋体" w:cs="宋体"/>
          <w:b/>
          <w:bCs/>
          <w:color w:val="auto"/>
          <w:sz w:val="40"/>
          <w:szCs w:val="40"/>
          <w:highlight w:val="none"/>
        </w:rPr>
        <w:t>第三章 投标人须知</w:t>
      </w:r>
      <w:bookmarkEnd w:id="4"/>
    </w:p>
    <w:p>
      <w:pPr>
        <w:pStyle w:val="19"/>
        <w:rPr>
          <w:color w:val="auto"/>
          <w:highlight w:val="none"/>
        </w:rPr>
      </w:pPr>
    </w:p>
    <w:p>
      <w:pPr>
        <w:spacing w:line="360" w:lineRule="auto"/>
        <w:ind w:right="-166" w:rightChars="-83"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本资料表是根据项目的具体情况对“第三章 投标人须知”及“第五章 合同通用条款”中有关条款所作的补充和修改。两者如有不一致，以本资料表为准。</w:t>
      </w:r>
    </w:p>
    <w:p>
      <w:pPr>
        <w:kinsoku w:val="0"/>
        <w:overflowPunct w:val="0"/>
        <w:autoSpaceDE/>
        <w:autoSpaceDN/>
        <w:snapToGrid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投标须知前附表</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88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35" w:type="pct"/>
            <w:vAlign w:val="center"/>
          </w:tcPr>
          <w:p>
            <w:pPr>
              <w:kinsoku w:val="0"/>
              <w:overflowPunct w:val="0"/>
              <w:autoSpaceDE/>
              <w:autoSpaceDN/>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条款项号</w:t>
            </w:r>
          </w:p>
        </w:tc>
        <w:tc>
          <w:tcPr>
            <w:tcW w:w="4464" w:type="pct"/>
            <w:vAlign w:val="center"/>
          </w:tcPr>
          <w:p>
            <w:pPr>
              <w:kinsoku w:val="0"/>
              <w:overflowPunct w:val="0"/>
              <w:autoSpaceDE/>
              <w:autoSpaceDN/>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000" w:type="pct"/>
            <w:gridSpan w:val="2"/>
            <w:vAlign w:val="center"/>
          </w:tcPr>
          <w:p>
            <w:pPr>
              <w:kinsoku w:val="0"/>
              <w:overflowPunct w:val="0"/>
              <w:autoSpaceDE/>
              <w:autoSpaceDN/>
              <w:snapToGrid w:val="0"/>
              <w:spacing w:line="360" w:lineRule="auto"/>
              <w:rPr>
                <w:rFonts w:ascii="宋体" w:hAnsi="宋体" w:cs="宋体"/>
                <w:b/>
                <w:color w:val="auto"/>
                <w:sz w:val="21"/>
                <w:szCs w:val="21"/>
                <w:highlight w:val="none"/>
              </w:rPr>
            </w:pPr>
            <w:r>
              <w:rPr>
                <w:rFonts w:hint="eastAsia" w:ascii="宋体" w:hAnsi="宋体" w:cs="宋体"/>
                <w:color w:val="auto"/>
                <w:sz w:val="21"/>
                <w:szCs w:val="21"/>
                <w:highlight w:val="none"/>
              </w:rPr>
              <w:t>对第二章《投标人须知》的修改及补充：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535" w:type="pct"/>
            <w:vAlign w:val="center"/>
          </w:tcPr>
          <w:p>
            <w:pPr>
              <w:kinsoku w:val="0"/>
              <w:overflowPunct w:val="0"/>
              <w:autoSpaceDE/>
              <w:autoSpaceDN/>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一、</w:t>
            </w:r>
          </w:p>
        </w:tc>
        <w:tc>
          <w:tcPr>
            <w:tcW w:w="4464" w:type="pct"/>
            <w:vAlign w:val="center"/>
          </w:tcPr>
          <w:p>
            <w:pPr>
              <w:kinsoku w:val="0"/>
              <w:overflowPunct w:val="0"/>
              <w:autoSpaceDE/>
              <w:autoSpaceDN/>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35" w:type="pct"/>
            <w:vAlign w:val="center"/>
          </w:tcPr>
          <w:p>
            <w:pPr>
              <w:kinsoku w:val="0"/>
              <w:overflowPunct w:val="0"/>
              <w:autoSpaceDE/>
              <w:autoSpaceDN/>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2.1</w:t>
            </w:r>
          </w:p>
        </w:tc>
        <w:tc>
          <w:tcPr>
            <w:tcW w:w="4464" w:type="pct"/>
            <w:vAlign w:val="center"/>
          </w:tcPr>
          <w:p>
            <w:pPr>
              <w:kinsoku w:val="0"/>
              <w:overflowPunct w:val="0"/>
              <w:autoSpaceDE/>
              <w:autoSpaceDN/>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招标人名称：</w:t>
            </w:r>
            <w:r>
              <w:rPr>
                <w:rFonts w:hint="eastAsia" w:ascii="宋体" w:hAnsi="宋体" w:cs="宋体"/>
                <w:color w:val="auto"/>
                <w:kern w:val="28"/>
                <w:sz w:val="21"/>
                <w:szCs w:val="21"/>
                <w:highlight w:val="none"/>
              </w:rPr>
              <w:t>中山市火炬科学技术学校</w:t>
            </w:r>
          </w:p>
          <w:p>
            <w:pPr>
              <w:kinsoku w:val="0"/>
              <w:overflowPunct w:val="0"/>
              <w:autoSpaceDE/>
              <w:autoSpaceDN/>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资金来源：</w:t>
            </w:r>
            <w:r>
              <w:rPr>
                <w:rFonts w:hint="eastAsia" w:ascii="宋体" w:hAnsi="宋体" w:cs="宋体"/>
                <w:bCs/>
                <w:color w:val="auto"/>
                <w:sz w:val="21"/>
                <w:szCs w:val="21"/>
                <w:highlight w:val="none"/>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35" w:type="pct"/>
            <w:vAlign w:val="center"/>
          </w:tcPr>
          <w:p>
            <w:pPr>
              <w:kinsoku w:val="0"/>
              <w:overflowPunct w:val="0"/>
              <w:autoSpaceDE/>
              <w:autoSpaceDN/>
              <w:snapToGrid w:val="0"/>
              <w:spacing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三、</w:t>
            </w:r>
          </w:p>
        </w:tc>
        <w:tc>
          <w:tcPr>
            <w:tcW w:w="4464" w:type="pct"/>
            <w:vAlign w:val="center"/>
          </w:tcPr>
          <w:p>
            <w:pPr>
              <w:kinsoku w:val="0"/>
              <w:overflowPunct w:val="0"/>
              <w:autoSpaceDE/>
              <w:autoSpaceDN/>
              <w:snapToGrid w:val="0"/>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35" w:type="pct"/>
            <w:vAlign w:val="center"/>
          </w:tcPr>
          <w:p>
            <w:pPr>
              <w:kinsoku w:val="0"/>
              <w:overflowPunct w:val="0"/>
              <w:autoSpaceDE/>
              <w:autoSpaceDN/>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10.1</w:t>
            </w:r>
          </w:p>
        </w:tc>
        <w:tc>
          <w:tcPr>
            <w:tcW w:w="4464" w:type="pct"/>
            <w:vAlign w:val="center"/>
          </w:tcPr>
          <w:p>
            <w:pPr>
              <w:kinsoku w:val="0"/>
              <w:overflowPunct w:val="0"/>
              <w:autoSpaceDE/>
              <w:autoSpaceDN/>
              <w:snapToGrid w:val="0"/>
              <w:spacing w:line="360" w:lineRule="auto"/>
              <w:rPr>
                <w:rFonts w:ascii="宋体" w:hAnsi="宋体" w:cs="宋体"/>
                <w:b/>
                <w:color w:val="auto"/>
                <w:sz w:val="21"/>
                <w:szCs w:val="21"/>
                <w:highlight w:val="none"/>
              </w:rPr>
            </w:pPr>
            <w:r>
              <w:rPr>
                <w:rFonts w:hint="eastAsia" w:ascii="宋体" w:hAnsi="宋体" w:cs="宋体"/>
                <w:color w:val="auto"/>
                <w:sz w:val="21"/>
                <w:szCs w:val="21"/>
                <w:highlight w:val="none"/>
              </w:rPr>
              <w:t>《开标一览表》必须按照招标文件提供的格式进行报价，如有缺项、漏项（数量不符合将被视为漏项）的，视为无效投标。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35" w:type="pct"/>
            <w:vAlign w:val="center"/>
          </w:tcPr>
          <w:p>
            <w:pPr>
              <w:kinsoku w:val="0"/>
              <w:overflowPunct w:val="0"/>
              <w:autoSpaceDE/>
              <w:autoSpaceDN/>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16.1</w:t>
            </w:r>
          </w:p>
        </w:tc>
        <w:tc>
          <w:tcPr>
            <w:tcW w:w="4464" w:type="pct"/>
            <w:vAlign w:val="center"/>
          </w:tcPr>
          <w:p>
            <w:pPr>
              <w:kinsoku w:val="0"/>
              <w:overflowPunct w:val="0"/>
              <w:autoSpaceDE/>
              <w:autoSpaceDN/>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投标人应按招标文件规定的金额和期限交纳投标保证金，投标保证金作为投标文件的组成部分。投标保证金账号由投标人通过综合交易系统申请并按照缴纳保证金通知书上内容缴纳</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投标人转账须使用基本</w:t>
            </w:r>
            <w:r>
              <w:rPr>
                <w:rFonts w:hint="eastAsia" w:ascii="宋体" w:hAnsi="宋体" w:cs="宋体"/>
                <w:color w:val="auto"/>
                <w:sz w:val="21"/>
                <w:szCs w:val="21"/>
                <w:highlight w:val="none"/>
                <w:lang w:eastAsia="zh-CN"/>
              </w:rPr>
              <w:t>账</w:t>
            </w:r>
            <w:r>
              <w:rPr>
                <w:rFonts w:hint="eastAsia" w:ascii="宋体" w:hAnsi="宋体" w:cs="宋体"/>
                <w:color w:val="auto"/>
                <w:sz w:val="21"/>
                <w:szCs w:val="21"/>
                <w:highlight w:val="none"/>
              </w:rPr>
              <w:t>户转账。如以电子保函方式提交投标保证金的，投标人凭电子招投标数字证书登入</w:t>
            </w:r>
            <w:r>
              <w:rPr>
                <w:rFonts w:hint="eastAsia" w:ascii="宋体" w:hAnsi="宋体" w:cs="宋体"/>
                <w:color w:val="auto"/>
                <w:sz w:val="21"/>
                <w:szCs w:val="21"/>
                <w:highlight w:val="none"/>
                <w:lang w:eastAsia="zh-CN"/>
              </w:rPr>
              <w:t>中山市公共资源交易平台--电子交易系统--综合交易系统</w:t>
            </w:r>
            <w:r>
              <w:rPr>
                <w:rFonts w:hint="eastAsia" w:ascii="宋体" w:hAnsi="宋体" w:cs="宋体"/>
                <w:color w:val="auto"/>
                <w:sz w:val="21"/>
                <w:szCs w:val="21"/>
                <w:highlight w:val="none"/>
              </w:rPr>
              <w:t>，在“保证金管理-缴纳保证金”档目页面，选择参与投标的项目，选择相关金融机构办理电子保函。电子保函的出具时间视同于保证金提交时间。电子保函有效期限到期后自动失效，若在有效期间内办理注销的，则在注销之日起失效。电子保函办理的由请流程及操作指引详见中山市公共资源交易中心门户网站的“服务指南一资料下载”-《电子保函操作手册(综合交易系统部分)》。</w:t>
            </w:r>
            <w:r>
              <w:rPr>
                <w:rFonts w:hint="eastAsia" w:ascii="宋体" w:hAnsi="宋体" w:cs="宋体"/>
                <w:b/>
                <w:bCs/>
                <w:color w:val="auto"/>
                <w:sz w:val="21"/>
                <w:szCs w:val="21"/>
                <w:highlight w:val="none"/>
              </w:rPr>
              <w:t>(注:投标人获取招标文件完成后，进入业务“缴纳保证金”页面，选择已获取招标文件项目，点击“缴纳投标保证金”按钮，打印缴纳投标保证金通知书(每个项目每次投标，每一家投标单位所获取的保证金账号均不相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pct"/>
            <w:vAlign w:val="center"/>
          </w:tcPr>
          <w:p>
            <w:pPr>
              <w:kinsoku w:val="0"/>
              <w:overflowPunct w:val="0"/>
              <w:autoSpaceDE/>
              <w:autoSpaceDN/>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17.1</w:t>
            </w:r>
          </w:p>
        </w:tc>
        <w:tc>
          <w:tcPr>
            <w:tcW w:w="4464" w:type="pct"/>
            <w:vAlign w:val="center"/>
          </w:tcPr>
          <w:p>
            <w:pPr>
              <w:kinsoku w:val="0"/>
              <w:overflowPunct w:val="0"/>
              <w:autoSpaceDE/>
              <w:autoSpaceDN/>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投标有效期：90天。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pct"/>
            <w:vAlign w:val="center"/>
          </w:tcPr>
          <w:p>
            <w:pPr>
              <w:kinsoku w:val="0"/>
              <w:overflowPunct w:val="0"/>
              <w:autoSpaceDE/>
              <w:autoSpaceDN/>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18.1</w:t>
            </w:r>
          </w:p>
        </w:tc>
        <w:tc>
          <w:tcPr>
            <w:tcW w:w="4464" w:type="pct"/>
            <w:vAlign w:val="center"/>
          </w:tcPr>
          <w:p>
            <w:pPr>
              <w:kinsoku w:val="0"/>
              <w:overflowPunct w:val="0"/>
              <w:autoSpaceDE/>
              <w:autoSpaceDN/>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投标文件份数：电子文件一份。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35" w:type="pct"/>
            <w:vAlign w:val="center"/>
          </w:tcPr>
          <w:p>
            <w:pPr>
              <w:kinsoku w:val="0"/>
              <w:overflowPunct w:val="0"/>
              <w:autoSpaceDE/>
              <w:autoSpaceDN/>
              <w:snapToGrid w:val="0"/>
              <w:spacing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五、</w:t>
            </w:r>
          </w:p>
        </w:tc>
        <w:tc>
          <w:tcPr>
            <w:tcW w:w="4464" w:type="pct"/>
            <w:vAlign w:val="center"/>
          </w:tcPr>
          <w:p>
            <w:pPr>
              <w:kinsoku w:val="0"/>
              <w:overflowPunct w:val="0"/>
              <w:autoSpaceDE/>
              <w:autoSpaceDN/>
              <w:snapToGrid w:val="0"/>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535" w:type="pct"/>
            <w:vAlign w:val="center"/>
          </w:tcPr>
          <w:p>
            <w:pPr>
              <w:kinsoku w:val="0"/>
              <w:overflowPunct w:val="0"/>
              <w:autoSpaceDE/>
              <w:autoSpaceDN/>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22.1</w:t>
            </w:r>
          </w:p>
        </w:tc>
        <w:tc>
          <w:tcPr>
            <w:tcW w:w="4464" w:type="pct"/>
            <w:vAlign w:val="center"/>
          </w:tcPr>
          <w:p>
            <w:pPr>
              <w:kinsoku w:val="0"/>
              <w:overflowPunct w:val="0"/>
              <w:autoSpaceDE/>
              <w:autoSpaceDN/>
              <w:snapToGrid w:val="0"/>
              <w:spacing w:line="360" w:lineRule="auto"/>
              <w:rPr>
                <w:rFonts w:ascii="宋体" w:hAnsi="宋体" w:cs="宋体"/>
                <w:b/>
                <w:color w:val="auto"/>
                <w:sz w:val="21"/>
                <w:szCs w:val="21"/>
                <w:highlight w:val="none"/>
              </w:rPr>
            </w:pPr>
            <w:r>
              <w:rPr>
                <w:rFonts w:hint="eastAsia" w:ascii="宋体" w:hAnsi="宋体" w:cs="宋体"/>
                <w:bCs/>
                <w:color w:val="auto"/>
                <w:sz w:val="21"/>
                <w:szCs w:val="21"/>
                <w:highlight w:val="none"/>
              </w:rPr>
              <w:t>评标委员人数由5名单数组成。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pct"/>
            <w:vAlign w:val="center"/>
          </w:tcPr>
          <w:p>
            <w:pPr>
              <w:kinsoku w:val="0"/>
              <w:overflowPunct w:val="0"/>
              <w:autoSpaceDE/>
              <w:autoSpaceDN/>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22.3</w:t>
            </w:r>
          </w:p>
        </w:tc>
        <w:tc>
          <w:tcPr>
            <w:tcW w:w="4464" w:type="pct"/>
            <w:vAlign w:val="center"/>
          </w:tcPr>
          <w:p>
            <w:pPr>
              <w:kinsoku w:val="0"/>
              <w:overflowPunct w:val="0"/>
              <w:autoSpaceDE/>
              <w:autoSpaceDN/>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评标方法：综合评分法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35" w:type="pct"/>
            <w:vAlign w:val="center"/>
          </w:tcPr>
          <w:p>
            <w:pPr>
              <w:kinsoku w:val="0"/>
              <w:overflowPunct w:val="0"/>
              <w:autoSpaceDE/>
              <w:autoSpaceDN/>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26.3</w:t>
            </w:r>
          </w:p>
        </w:tc>
        <w:tc>
          <w:tcPr>
            <w:tcW w:w="4464" w:type="pct"/>
            <w:vAlign w:val="center"/>
          </w:tcPr>
          <w:p>
            <w:pPr>
              <w:kinsoku w:val="0"/>
              <w:overflowPunct w:val="0"/>
              <w:autoSpaceDE/>
              <w:autoSpaceDN/>
              <w:snapToGrid w:val="0"/>
              <w:spacing w:line="360" w:lineRule="auto"/>
              <w:rPr>
                <w:rFonts w:ascii="宋体" w:hAnsi="宋体" w:cs="宋体"/>
                <w:bCs/>
                <w:dstrike/>
                <w:color w:val="auto"/>
                <w:sz w:val="21"/>
                <w:szCs w:val="21"/>
                <w:highlight w:val="none"/>
              </w:rPr>
            </w:pPr>
            <w:r>
              <w:rPr>
                <w:rFonts w:hint="eastAsia" w:ascii="宋体" w:hAnsi="宋体" w:cs="宋体"/>
                <w:color w:val="auto"/>
                <w:sz w:val="21"/>
                <w:szCs w:val="21"/>
                <w:highlight w:val="none"/>
              </w:rPr>
              <w:t>推荐中标候选人的数量及原则：推荐综合得分排名第一的投标人为第一中标候选人，排名第二的投标人为第二中标候选人，排名第三的投标人为第三中标候选人。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pct"/>
            <w:vAlign w:val="center"/>
          </w:tcPr>
          <w:p>
            <w:pPr>
              <w:kinsoku w:val="0"/>
              <w:overflowPunct w:val="0"/>
              <w:autoSpaceDE/>
              <w:autoSpaceDN/>
              <w:snapToGrid w:val="0"/>
              <w:spacing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六、</w:t>
            </w:r>
          </w:p>
        </w:tc>
        <w:tc>
          <w:tcPr>
            <w:tcW w:w="4464" w:type="pct"/>
            <w:vAlign w:val="center"/>
          </w:tcPr>
          <w:p>
            <w:pPr>
              <w:kinsoku w:val="0"/>
              <w:overflowPunct w:val="0"/>
              <w:autoSpaceDE/>
              <w:autoSpaceDN/>
              <w:snapToGrid w:val="0"/>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535" w:type="pct"/>
            <w:vAlign w:val="center"/>
          </w:tcPr>
          <w:p>
            <w:pPr>
              <w:kinsoku w:val="0"/>
              <w:overflowPunct w:val="0"/>
              <w:autoSpaceDE/>
              <w:autoSpaceDN/>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31.1</w:t>
            </w:r>
          </w:p>
        </w:tc>
        <w:tc>
          <w:tcPr>
            <w:tcW w:w="4464" w:type="pct"/>
            <w:vAlign w:val="center"/>
          </w:tcPr>
          <w:p>
            <w:pPr>
              <w:kinsoku w:val="0"/>
              <w:overflowPunct w:val="0"/>
              <w:autoSpaceDE/>
              <w:autoSpaceDN/>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合同签订时间：自《中标通知书》发出之日起三十日内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535" w:type="pct"/>
            <w:vAlign w:val="center"/>
          </w:tcPr>
          <w:p>
            <w:pPr>
              <w:kinsoku w:val="0"/>
              <w:overflowPunct w:val="0"/>
              <w:autoSpaceDE/>
              <w:autoSpaceDN/>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31.2</w:t>
            </w:r>
          </w:p>
        </w:tc>
        <w:tc>
          <w:tcPr>
            <w:tcW w:w="4464" w:type="pct"/>
          </w:tcPr>
          <w:p>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1.招标代理服务费</w:t>
            </w:r>
            <w:r>
              <w:rPr>
                <w:rFonts w:hint="eastAsia" w:ascii="宋体" w:hAnsi="宋体" w:cs="宋体"/>
                <w:bCs/>
                <w:color w:val="auto"/>
                <w:sz w:val="21"/>
                <w:szCs w:val="21"/>
                <w:highlight w:val="none"/>
              </w:rPr>
              <w:t>按15000元(大写：壹万伍仟元整)收取。</w:t>
            </w:r>
          </w:p>
          <w:p>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2.招标代理服务费的缴纳形式：</w:t>
            </w:r>
          </w:p>
          <w:p>
            <w:pPr>
              <w:numPr>
                <w:ilvl w:val="0"/>
                <w:numId w:val="18"/>
              </w:numPr>
              <w:autoSpaceDE/>
              <w:autoSpaceDN/>
              <w:snapToGrid w:val="0"/>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 xml:space="preserve">向招标代理机构直接缴纳招标代理服务费。可用支票、汇票、电汇等付款方式； </w:t>
            </w:r>
          </w:p>
          <w:p>
            <w:pPr>
              <w:numPr>
                <w:ilvl w:val="0"/>
                <w:numId w:val="18"/>
              </w:numPr>
              <w:autoSpaceDE/>
              <w:autoSpaceDN/>
              <w:snapToGrid w:val="0"/>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招标代理服务费付至：</w:t>
            </w:r>
            <w:r>
              <w:rPr>
                <w:rFonts w:hint="eastAsia" w:ascii="宋体" w:hAnsi="宋体" w:cs="宋体"/>
                <w:bCs/>
                <w:color w:val="auto"/>
                <w:sz w:val="21"/>
                <w:szCs w:val="21"/>
                <w:highlight w:val="none"/>
              </w:rPr>
              <w:t>详见《招标代理服务费承诺书》</w:t>
            </w:r>
          </w:p>
          <w:p>
            <w:pPr>
              <w:tabs>
                <w:tab w:val="left" w:pos="420"/>
              </w:tabs>
              <w:autoSpaceDE/>
              <w:autoSpaceDN/>
              <w:snapToGrid w:val="0"/>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3.投标人应签署第六章所附格式的招标代理服务费承诺书，作为投标文件的一部分。</w:t>
            </w:r>
          </w:p>
          <w:p>
            <w:pPr>
              <w:pStyle w:val="19"/>
              <w:rPr>
                <w:rFonts w:ascii="宋体" w:hAnsi="宋体" w:cs="宋体"/>
                <w:color w:val="auto"/>
                <w:sz w:val="21"/>
                <w:szCs w:val="21"/>
                <w:highlight w:val="none"/>
              </w:rPr>
            </w:pPr>
            <w:r>
              <w:rPr>
                <w:rFonts w:hint="eastAsia" w:ascii="宋体" w:hAnsi="宋体" w:cs="宋体"/>
                <w:color w:val="auto"/>
                <w:sz w:val="21"/>
                <w:szCs w:val="21"/>
                <w:highlight w:val="none"/>
              </w:rPr>
              <w:t>中标人在领取《中标通知书》原件前应向招标代理机构缴纳招标代理服务费。凭领取人身份证复印件并加盖公章领取《中标通知书》。如采用电汇或银行转账，须同时递交招标代理服务费缴费凭证复印件并加盖公章。</w:t>
            </w:r>
          </w:p>
        </w:tc>
      </w:tr>
    </w:tbl>
    <w:p>
      <w:pPr>
        <w:pStyle w:val="19"/>
        <w:ind w:firstLine="0"/>
        <w:rPr>
          <w:color w:val="auto"/>
          <w:highlight w:val="none"/>
        </w:rPr>
      </w:pPr>
    </w:p>
    <w:p>
      <w:pPr>
        <w:pStyle w:val="4"/>
        <w:spacing w:before="0" w:after="0" w:line="360" w:lineRule="auto"/>
        <w:jc w:val="center"/>
        <w:rPr>
          <w:rFonts w:ascii="宋体" w:hAnsi="宋体" w:cs="宋体"/>
          <w:color w:val="auto"/>
          <w:highlight w:val="none"/>
        </w:rPr>
      </w:pPr>
      <w:r>
        <w:rPr>
          <w:rFonts w:hint="eastAsia" w:ascii="宋体" w:hAnsi="宋体" w:cs="宋体"/>
          <w:color w:val="auto"/>
          <w:highlight w:val="none"/>
          <w:lang w:eastAsia="zh-TW"/>
        </w:rPr>
        <w:t>一、</w:t>
      </w:r>
      <w:r>
        <w:rPr>
          <w:rFonts w:hint="eastAsia" w:ascii="宋体" w:hAnsi="宋体" w:cs="宋体"/>
          <w:color w:val="auto"/>
          <w:highlight w:val="none"/>
        </w:rPr>
        <w:t>总 则</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适用范围</w:t>
      </w:r>
    </w:p>
    <w:p>
      <w:pPr>
        <w:numPr>
          <w:ilvl w:val="1"/>
          <w:numId w:val="19"/>
        </w:numPr>
        <w:spacing w:line="360" w:lineRule="auto"/>
        <w:jc w:val="both"/>
        <w:rPr>
          <w:rFonts w:ascii="宋体" w:hAnsi="宋体" w:cs="宋体"/>
          <w:b/>
          <w:bCs/>
          <w:color w:val="auto"/>
          <w:sz w:val="21"/>
          <w:szCs w:val="21"/>
          <w:highlight w:val="none"/>
        </w:rPr>
      </w:pPr>
      <w:r>
        <w:rPr>
          <w:rFonts w:hint="eastAsia" w:ascii="宋体" w:hAnsi="宋体" w:cs="宋体"/>
          <w:color w:val="auto"/>
          <w:sz w:val="21"/>
          <w:szCs w:val="21"/>
          <w:highlight w:val="none"/>
        </w:rPr>
        <w:t>本招标文件适用于本投标邀请中所述项目的招标项目。</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定义</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招标人是依照相关规定提出招标项目、进行招标的法人或者其他组织。</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color w:val="auto"/>
          <w:sz w:val="21"/>
          <w:szCs w:val="21"/>
          <w:highlight w:val="none"/>
        </w:rPr>
        <w:t>招标代理机构指按照规定办理名录登记并通过审核的代理机构。</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本项目资金来源为</w:t>
      </w:r>
      <w:r>
        <w:rPr>
          <w:rFonts w:hint="eastAsia" w:ascii="宋体" w:hAnsi="宋体" w:cs="宋体"/>
          <w:b/>
          <w:bCs/>
          <w:color w:val="auto"/>
          <w:sz w:val="21"/>
          <w:szCs w:val="21"/>
          <w:highlight w:val="none"/>
        </w:rPr>
        <w:t>自筹资金</w:t>
      </w:r>
      <w:r>
        <w:rPr>
          <w:rFonts w:hint="eastAsia" w:ascii="宋体" w:hAnsi="宋体" w:cs="宋体"/>
          <w:color w:val="auto"/>
          <w:sz w:val="21"/>
          <w:szCs w:val="21"/>
          <w:highlight w:val="none"/>
        </w:rPr>
        <w:t>。</w:t>
      </w:r>
    </w:p>
    <w:p>
      <w:pPr>
        <w:numPr>
          <w:ilvl w:val="1"/>
          <w:numId w:val="19"/>
        </w:numPr>
        <w:autoSpaceDE/>
        <w:autoSpaceDN/>
        <w:adjustRightInd/>
        <w:spacing w:line="360" w:lineRule="auto"/>
        <w:rPr>
          <w:rFonts w:ascii="宋体" w:hAnsi="宋体" w:cs="宋体"/>
          <w:color w:val="auto"/>
          <w:sz w:val="21"/>
          <w:szCs w:val="21"/>
          <w:highlight w:val="none"/>
        </w:rPr>
      </w:pPr>
      <w:bookmarkStart w:id="5" w:name="_Hlk63071016"/>
      <w:r>
        <w:rPr>
          <w:rFonts w:hint="eastAsia" w:ascii="宋体" w:hAnsi="宋体" w:cs="宋体"/>
          <w:color w:val="auto"/>
          <w:sz w:val="21"/>
          <w:szCs w:val="21"/>
          <w:highlight w:val="none"/>
        </w:rPr>
        <w:t>本招标文件的</w:t>
      </w:r>
      <w:bookmarkEnd w:id="5"/>
      <w:r>
        <w:rPr>
          <w:rFonts w:hint="eastAsia" w:ascii="宋体" w:hAnsi="宋体" w:cs="宋体"/>
          <w:color w:val="auto"/>
          <w:sz w:val="21"/>
          <w:szCs w:val="21"/>
          <w:highlight w:val="none"/>
        </w:rPr>
        <w:t>招标人：</w:t>
      </w:r>
      <w:r>
        <w:rPr>
          <w:rFonts w:hint="eastAsia" w:ascii="宋体" w:hAnsi="宋体" w:cs="宋体"/>
          <w:b/>
          <w:bCs/>
          <w:color w:val="auto"/>
          <w:sz w:val="21"/>
          <w:szCs w:val="21"/>
          <w:highlight w:val="none"/>
        </w:rPr>
        <w:t>中山市火炬科学技术学校</w:t>
      </w:r>
    </w:p>
    <w:p>
      <w:pPr>
        <w:numPr>
          <w:ilvl w:val="1"/>
          <w:numId w:val="19"/>
        </w:numPr>
        <w:autoSpaceDE/>
        <w:autoSpaceDN/>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本招标文件的招标代理机构：</w:t>
      </w:r>
      <w:r>
        <w:rPr>
          <w:rFonts w:hint="eastAsia" w:ascii="宋体" w:hAnsi="宋体" w:cs="宋体"/>
          <w:b/>
          <w:bCs/>
          <w:color w:val="auto"/>
          <w:sz w:val="21"/>
          <w:szCs w:val="21"/>
          <w:highlight w:val="none"/>
        </w:rPr>
        <w:t>方禾（广东）项目管理有限公司</w:t>
      </w:r>
    </w:p>
    <w:p>
      <w:pPr>
        <w:numPr>
          <w:ilvl w:val="1"/>
          <w:numId w:val="19"/>
        </w:numPr>
        <w:autoSpaceDE/>
        <w:autoSpaceDN/>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投标人是响应招标并且符合招标文件规定资格条件和参加投标竞争的法人或其他组织。</w:t>
      </w:r>
    </w:p>
    <w:p>
      <w:pPr>
        <w:numPr>
          <w:ilvl w:val="1"/>
          <w:numId w:val="19"/>
        </w:numPr>
        <w:autoSpaceDE/>
        <w:autoSpaceDN/>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服务是指投标人按招标文件规定完成的全部服务内容，其中包括完成服务所需的货物（产品）及须承担的运输、安装、技术支持、培训以及招标文件规定的其它伴随服务。</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知识产权</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投标人应保证，招标人在中华人民共和国使用该货物或货物的任何一部分时，免受第三方提出的侵犯其专利权、商标权、著作权或其它知识产权的起诉。</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投标费用</w:t>
      </w:r>
    </w:p>
    <w:p>
      <w:pPr>
        <w:numPr>
          <w:ilvl w:val="1"/>
          <w:numId w:val="19"/>
        </w:numPr>
        <w:spacing w:line="360" w:lineRule="auto"/>
        <w:jc w:val="both"/>
        <w:rPr>
          <w:rFonts w:ascii="宋体" w:hAnsi="宋体" w:cs="宋体"/>
          <w:b/>
          <w:bCs/>
          <w:color w:val="auto"/>
          <w:sz w:val="21"/>
          <w:szCs w:val="21"/>
          <w:highlight w:val="none"/>
        </w:rPr>
      </w:pPr>
      <w:r>
        <w:rPr>
          <w:rFonts w:hint="eastAsia" w:ascii="宋体" w:hAnsi="宋体" w:cs="宋体"/>
          <w:color w:val="auto"/>
          <w:sz w:val="21"/>
          <w:szCs w:val="21"/>
          <w:highlight w:val="none"/>
        </w:rPr>
        <w:t>投标人应承担所有与准备和参加投标有关的费用</w:t>
      </w:r>
      <w:r>
        <w:rPr>
          <w:rFonts w:hint="eastAsia" w:ascii="宋体" w:hAnsi="宋体" w:cs="宋体"/>
          <w:color w:val="auto"/>
          <w:sz w:val="21"/>
          <w:szCs w:val="21"/>
          <w:highlight w:val="none"/>
          <w:lang w:eastAsia="zh-TW"/>
        </w:rPr>
        <w:t>。</w:t>
      </w:r>
      <w:r>
        <w:rPr>
          <w:rFonts w:hint="eastAsia" w:ascii="宋体" w:hAnsi="宋体" w:cs="宋体"/>
          <w:color w:val="auto"/>
          <w:sz w:val="21"/>
          <w:szCs w:val="21"/>
          <w:highlight w:val="none"/>
        </w:rPr>
        <w:t>不</w:t>
      </w:r>
      <w:r>
        <w:rPr>
          <w:rFonts w:hint="eastAsia" w:ascii="宋体" w:hAnsi="宋体" w:cs="宋体"/>
          <w:color w:val="auto"/>
          <w:sz w:val="21"/>
          <w:szCs w:val="21"/>
          <w:highlight w:val="none"/>
          <w:lang w:eastAsia="zh-TW"/>
        </w:rPr>
        <w:t>论投标的结果如何</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招标人</w:t>
      </w:r>
      <w:r>
        <w:rPr>
          <w:rFonts w:hint="eastAsia" w:ascii="宋体" w:hAnsi="宋体" w:cs="宋体"/>
          <w:color w:val="auto"/>
          <w:sz w:val="21"/>
          <w:szCs w:val="21"/>
          <w:highlight w:val="none"/>
        </w:rPr>
        <w:t>和</w:t>
      </w:r>
      <w:r>
        <w:rPr>
          <w:rFonts w:hint="eastAsia" w:ascii="宋体" w:hAnsi="宋体" w:cs="宋体"/>
          <w:color w:val="auto"/>
          <w:sz w:val="21"/>
          <w:szCs w:val="21"/>
          <w:highlight w:val="none"/>
          <w:lang w:eastAsia="zh-TW"/>
        </w:rPr>
        <w:t>招标代理机构均无义务和责任承担这些费用</w:t>
      </w:r>
      <w:r>
        <w:rPr>
          <w:rFonts w:hint="eastAsia" w:ascii="宋体" w:hAnsi="宋体" w:cs="宋体"/>
          <w:color w:val="auto"/>
          <w:sz w:val="21"/>
          <w:szCs w:val="21"/>
          <w:highlight w:val="none"/>
        </w:rPr>
        <w:t>。</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其他</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供应商（投标人）向招标</w:t>
      </w:r>
      <w:r>
        <w:rPr>
          <w:rFonts w:hint="eastAsia" w:ascii="宋体" w:hAnsi="宋体" w:cs="宋体"/>
          <w:color w:val="auto"/>
          <w:sz w:val="21"/>
          <w:szCs w:val="21"/>
          <w:highlight w:val="none"/>
        </w:rPr>
        <w:t>招标</w:t>
      </w:r>
      <w:r>
        <w:rPr>
          <w:rFonts w:hint="eastAsia" w:ascii="宋体" w:hAnsi="宋体" w:cs="宋体"/>
          <w:color w:val="auto"/>
          <w:sz w:val="21"/>
          <w:szCs w:val="21"/>
          <w:highlight w:val="none"/>
          <w:lang w:eastAsia="zh-TW"/>
        </w:rPr>
        <w:t>单位咨询的有关项目事项，一切以法律法规的规定和招标</w:t>
      </w:r>
      <w:r>
        <w:rPr>
          <w:rFonts w:hint="eastAsia" w:ascii="宋体" w:hAnsi="宋体" w:cs="宋体"/>
          <w:color w:val="auto"/>
          <w:sz w:val="21"/>
          <w:szCs w:val="21"/>
          <w:highlight w:val="none"/>
        </w:rPr>
        <w:t>招标</w:t>
      </w:r>
      <w:r>
        <w:rPr>
          <w:rFonts w:hint="eastAsia" w:ascii="宋体" w:hAnsi="宋体" w:cs="宋体"/>
          <w:color w:val="auto"/>
          <w:sz w:val="21"/>
          <w:szCs w:val="21"/>
          <w:highlight w:val="none"/>
          <w:lang w:eastAsia="zh-TW"/>
        </w:rPr>
        <w:t>单位书面答复</w:t>
      </w:r>
      <w:r>
        <w:rPr>
          <w:rFonts w:hint="eastAsia" w:ascii="宋体" w:hAnsi="宋体" w:cs="宋体"/>
          <w:color w:val="auto"/>
          <w:sz w:val="21"/>
          <w:szCs w:val="21"/>
          <w:highlight w:val="none"/>
        </w:rPr>
        <w:t>及相关公告内容</w:t>
      </w:r>
      <w:r>
        <w:rPr>
          <w:rFonts w:hint="eastAsia" w:ascii="宋体" w:hAnsi="宋体" w:cs="宋体"/>
          <w:color w:val="auto"/>
          <w:sz w:val="21"/>
          <w:szCs w:val="21"/>
          <w:highlight w:val="none"/>
          <w:lang w:eastAsia="zh-TW"/>
        </w:rPr>
        <w:t>为准，其他一切形式均为个人意见，不代表招标</w:t>
      </w:r>
      <w:r>
        <w:rPr>
          <w:rFonts w:hint="eastAsia" w:ascii="宋体" w:hAnsi="宋体" w:cs="宋体"/>
          <w:color w:val="auto"/>
          <w:sz w:val="21"/>
          <w:szCs w:val="21"/>
          <w:highlight w:val="none"/>
        </w:rPr>
        <w:t>招标</w:t>
      </w:r>
      <w:r>
        <w:rPr>
          <w:rFonts w:hint="eastAsia" w:ascii="宋体" w:hAnsi="宋体" w:cs="宋体"/>
          <w:color w:val="auto"/>
          <w:sz w:val="21"/>
          <w:szCs w:val="21"/>
          <w:highlight w:val="none"/>
          <w:lang w:eastAsia="zh-TW"/>
        </w:rPr>
        <w:t>单位的意见。</w:t>
      </w:r>
    </w:p>
    <w:p>
      <w:pPr>
        <w:pStyle w:val="4"/>
        <w:jc w:val="center"/>
        <w:rPr>
          <w:rFonts w:ascii="宋体" w:hAnsi="宋体" w:cs="宋体"/>
          <w:color w:val="auto"/>
          <w:highlight w:val="none"/>
        </w:rPr>
      </w:pPr>
      <w:r>
        <w:rPr>
          <w:rFonts w:hint="eastAsia" w:ascii="宋体" w:hAnsi="宋体" w:cs="宋体"/>
          <w:color w:val="auto"/>
          <w:highlight w:val="none"/>
        </w:rPr>
        <w:t>二、招标文件</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招标文件的编制与构成</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本招标文件的编制参照《中华人民共和国招标投标法》及其实施条例。</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要求提供的货物或服务</w:t>
      </w:r>
      <w:r>
        <w:rPr>
          <w:rFonts w:hint="eastAsia" w:ascii="宋体" w:hAnsi="宋体" w:cs="宋体"/>
          <w:color w:val="auto"/>
          <w:sz w:val="21"/>
          <w:szCs w:val="21"/>
          <w:highlight w:val="none"/>
          <w:lang w:eastAsia="zh-TW"/>
        </w:rPr>
        <w:t>、</w:t>
      </w:r>
      <w:r>
        <w:rPr>
          <w:rFonts w:hint="eastAsia" w:ascii="宋体" w:hAnsi="宋体" w:cs="宋体"/>
          <w:color w:val="auto"/>
          <w:sz w:val="21"/>
          <w:szCs w:val="21"/>
          <w:highlight w:val="none"/>
        </w:rPr>
        <w:t>招标</w:t>
      </w:r>
      <w:r>
        <w:rPr>
          <w:rFonts w:hint="eastAsia" w:ascii="宋体" w:hAnsi="宋体" w:cs="宋体"/>
          <w:color w:val="auto"/>
          <w:sz w:val="21"/>
          <w:szCs w:val="21"/>
          <w:highlight w:val="none"/>
          <w:lang w:eastAsia="zh-TW"/>
        </w:rPr>
        <w:t>过程和合同条件在招标文件中均有说明。招标文件以中文文字编写。</w:t>
      </w:r>
    </w:p>
    <w:p>
      <w:pPr>
        <w:spacing w:line="360" w:lineRule="auto"/>
        <w:ind w:firstLine="525" w:firstLineChars="250"/>
        <w:rPr>
          <w:rFonts w:ascii="宋体" w:hAnsi="宋体" w:cs="宋体"/>
          <w:color w:val="auto"/>
          <w:sz w:val="21"/>
          <w:szCs w:val="21"/>
          <w:highlight w:val="none"/>
        </w:rPr>
      </w:pPr>
      <w:r>
        <w:rPr>
          <w:rFonts w:hint="eastAsia" w:ascii="宋体" w:hAnsi="宋体" w:cs="宋体"/>
          <w:color w:val="auto"/>
          <w:sz w:val="21"/>
          <w:szCs w:val="21"/>
          <w:highlight w:val="none"/>
          <w:lang w:eastAsia="zh-TW"/>
        </w:rPr>
        <w:t>招标文件共</w:t>
      </w:r>
      <w:r>
        <w:rPr>
          <w:rFonts w:hint="eastAsia" w:ascii="宋体" w:hAnsi="宋体" w:cs="宋体"/>
          <w:color w:val="auto"/>
          <w:sz w:val="21"/>
          <w:szCs w:val="21"/>
          <w:highlight w:val="none"/>
        </w:rPr>
        <w:t>七</w:t>
      </w:r>
      <w:r>
        <w:rPr>
          <w:rFonts w:hint="eastAsia" w:ascii="宋体" w:hAnsi="宋体" w:cs="宋体"/>
          <w:color w:val="auto"/>
          <w:sz w:val="21"/>
          <w:szCs w:val="21"/>
          <w:highlight w:val="none"/>
          <w:lang w:eastAsia="zh-TW"/>
        </w:rPr>
        <w:t>章</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内容如下</w:t>
      </w:r>
      <w:r>
        <w:rPr>
          <w:rFonts w:hint="eastAsia" w:ascii="宋体" w:hAnsi="宋体" w:cs="宋体"/>
          <w:color w:val="auto"/>
          <w:sz w:val="21"/>
          <w:szCs w:val="21"/>
          <w:highlight w:val="none"/>
        </w:rPr>
        <w:t>：</w:t>
      </w:r>
    </w:p>
    <w:p>
      <w:pPr>
        <w:spacing w:line="360" w:lineRule="auto"/>
        <w:ind w:left="992" w:leftChars="496" w:firstLine="1"/>
        <w:rPr>
          <w:rFonts w:ascii="宋体" w:hAnsi="宋体" w:cs="宋体"/>
          <w:color w:val="auto"/>
          <w:sz w:val="21"/>
          <w:szCs w:val="21"/>
          <w:highlight w:val="none"/>
        </w:rPr>
      </w:pPr>
      <w:r>
        <w:rPr>
          <w:rFonts w:hint="eastAsia" w:ascii="宋体" w:hAnsi="宋体" w:cs="宋体"/>
          <w:color w:val="auto"/>
          <w:sz w:val="21"/>
          <w:szCs w:val="21"/>
          <w:highlight w:val="none"/>
          <w:lang w:eastAsia="zh-TW"/>
        </w:rPr>
        <w:t>第一章</w:t>
      </w:r>
      <w:r>
        <w:rPr>
          <w:rFonts w:hint="eastAsia" w:ascii="宋体" w:hAnsi="宋体" w:cs="宋体"/>
          <w:color w:val="auto"/>
          <w:sz w:val="21"/>
          <w:szCs w:val="21"/>
          <w:highlight w:val="none"/>
        </w:rPr>
        <w:t>　投标邀请</w:t>
      </w:r>
    </w:p>
    <w:p>
      <w:pPr>
        <w:spacing w:line="360" w:lineRule="auto"/>
        <w:ind w:left="992" w:leftChars="496" w:firstLine="1"/>
        <w:rPr>
          <w:rFonts w:ascii="宋体" w:hAnsi="宋体" w:cs="宋体"/>
          <w:color w:val="auto"/>
          <w:sz w:val="21"/>
          <w:szCs w:val="21"/>
          <w:highlight w:val="none"/>
        </w:rPr>
      </w:pPr>
      <w:r>
        <w:rPr>
          <w:rFonts w:hint="eastAsia" w:ascii="宋体" w:hAnsi="宋体" w:cs="宋体"/>
          <w:color w:val="auto"/>
          <w:sz w:val="21"/>
          <w:szCs w:val="21"/>
          <w:highlight w:val="none"/>
          <w:lang w:eastAsia="zh-TW"/>
        </w:rPr>
        <w:t>第二章</w:t>
      </w:r>
      <w:r>
        <w:rPr>
          <w:rFonts w:hint="eastAsia" w:ascii="宋体" w:hAnsi="宋体" w:cs="宋体"/>
          <w:color w:val="auto"/>
          <w:sz w:val="21"/>
          <w:szCs w:val="21"/>
          <w:highlight w:val="none"/>
        </w:rPr>
        <w:t>　</w:t>
      </w:r>
      <w:r>
        <w:rPr>
          <w:rFonts w:hint="eastAsia" w:ascii="宋体" w:hAnsi="宋体" w:cs="宋体"/>
          <w:color w:val="auto"/>
          <w:sz w:val="21"/>
          <w:szCs w:val="21"/>
          <w:highlight w:val="none"/>
          <w:lang w:eastAsia="zh-TW"/>
        </w:rPr>
        <w:t>用户需求书</w:t>
      </w:r>
    </w:p>
    <w:p>
      <w:pPr>
        <w:spacing w:line="360" w:lineRule="auto"/>
        <w:ind w:left="992" w:leftChars="496" w:firstLine="1"/>
        <w:rPr>
          <w:rFonts w:ascii="宋体" w:hAnsi="宋体" w:cs="宋体"/>
          <w:color w:val="auto"/>
          <w:sz w:val="21"/>
          <w:szCs w:val="21"/>
          <w:highlight w:val="none"/>
        </w:rPr>
      </w:pPr>
      <w:r>
        <w:rPr>
          <w:rFonts w:hint="eastAsia" w:ascii="宋体" w:hAnsi="宋体" w:cs="宋体"/>
          <w:color w:val="auto"/>
          <w:sz w:val="21"/>
          <w:szCs w:val="21"/>
          <w:highlight w:val="none"/>
          <w:lang w:eastAsia="zh-TW"/>
        </w:rPr>
        <w:t>第</w:t>
      </w:r>
      <w:r>
        <w:rPr>
          <w:rFonts w:hint="eastAsia" w:ascii="宋体" w:hAnsi="宋体" w:cs="宋体"/>
          <w:color w:val="auto"/>
          <w:sz w:val="21"/>
          <w:szCs w:val="21"/>
          <w:highlight w:val="none"/>
        </w:rPr>
        <w:t>三</w:t>
      </w:r>
      <w:r>
        <w:rPr>
          <w:rFonts w:hint="eastAsia" w:ascii="宋体" w:hAnsi="宋体" w:cs="宋体"/>
          <w:color w:val="auto"/>
          <w:sz w:val="21"/>
          <w:szCs w:val="21"/>
          <w:highlight w:val="none"/>
          <w:lang w:eastAsia="zh-TW"/>
        </w:rPr>
        <w:t>章</w:t>
      </w:r>
      <w:r>
        <w:rPr>
          <w:rFonts w:hint="eastAsia" w:ascii="宋体" w:hAnsi="宋体" w:cs="宋体"/>
          <w:color w:val="auto"/>
          <w:sz w:val="21"/>
          <w:szCs w:val="21"/>
          <w:highlight w:val="none"/>
        </w:rPr>
        <w:t>　投标人须知</w:t>
      </w:r>
    </w:p>
    <w:p>
      <w:pPr>
        <w:spacing w:line="360" w:lineRule="auto"/>
        <w:ind w:left="992" w:leftChars="496" w:firstLine="1"/>
        <w:rPr>
          <w:rFonts w:ascii="宋体" w:hAnsi="宋体" w:cs="宋体"/>
          <w:color w:val="auto"/>
          <w:sz w:val="21"/>
          <w:szCs w:val="21"/>
          <w:highlight w:val="none"/>
        </w:rPr>
      </w:pPr>
      <w:r>
        <w:rPr>
          <w:rFonts w:hint="eastAsia" w:ascii="宋体" w:hAnsi="宋体" w:cs="宋体"/>
          <w:color w:val="auto"/>
          <w:sz w:val="21"/>
          <w:szCs w:val="21"/>
          <w:highlight w:val="none"/>
          <w:lang w:eastAsia="zh-TW"/>
        </w:rPr>
        <w:t>第</w:t>
      </w:r>
      <w:r>
        <w:rPr>
          <w:rFonts w:hint="eastAsia" w:ascii="宋体" w:hAnsi="宋体" w:cs="宋体"/>
          <w:color w:val="auto"/>
          <w:sz w:val="21"/>
          <w:szCs w:val="21"/>
          <w:highlight w:val="none"/>
        </w:rPr>
        <w:t>四</w:t>
      </w:r>
      <w:r>
        <w:rPr>
          <w:rFonts w:hint="eastAsia" w:ascii="宋体" w:hAnsi="宋体" w:cs="宋体"/>
          <w:color w:val="auto"/>
          <w:sz w:val="21"/>
          <w:szCs w:val="21"/>
          <w:highlight w:val="none"/>
          <w:lang w:eastAsia="zh-TW"/>
        </w:rPr>
        <w:t>章</w:t>
      </w:r>
      <w:r>
        <w:rPr>
          <w:rFonts w:hint="eastAsia" w:ascii="宋体" w:hAnsi="宋体" w:cs="宋体"/>
          <w:color w:val="auto"/>
          <w:sz w:val="21"/>
          <w:szCs w:val="21"/>
          <w:highlight w:val="none"/>
        </w:rPr>
        <w:t>　</w:t>
      </w:r>
      <w:r>
        <w:rPr>
          <w:rFonts w:hint="eastAsia" w:ascii="宋体" w:hAnsi="宋体" w:cs="宋体"/>
          <w:color w:val="auto"/>
          <w:sz w:val="21"/>
          <w:szCs w:val="21"/>
          <w:highlight w:val="none"/>
          <w:lang w:eastAsia="zh-TW"/>
        </w:rPr>
        <w:t>评分</w:t>
      </w:r>
      <w:r>
        <w:rPr>
          <w:rFonts w:hint="eastAsia" w:ascii="宋体" w:hAnsi="宋体" w:cs="宋体"/>
          <w:color w:val="auto"/>
          <w:sz w:val="21"/>
          <w:szCs w:val="21"/>
          <w:highlight w:val="none"/>
        </w:rPr>
        <w:t>体系</w:t>
      </w:r>
      <w:r>
        <w:rPr>
          <w:rFonts w:hint="eastAsia" w:ascii="宋体" w:hAnsi="宋体" w:cs="宋体"/>
          <w:color w:val="auto"/>
          <w:sz w:val="21"/>
          <w:szCs w:val="21"/>
          <w:highlight w:val="none"/>
          <w:lang w:eastAsia="zh-TW"/>
        </w:rPr>
        <w:t>和标准</w:t>
      </w:r>
    </w:p>
    <w:p>
      <w:pPr>
        <w:spacing w:line="360" w:lineRule="auto"/>
        <w:ind w:left="992" w:leftChars="496" w:firstLine="1"/>
        <w:rPr>
          <w:rFonts w:ascii="宋体" w:hAnsi="宋体" w:cs="宋体"/>
          <w:color w:val="auto"/>
          <w:sz w:val="21"/>
          <w:szCs w:val="21"/>
          <w:highlight w:val="none"/>
        </w:rPr>
      </w:pPr>
      <w:r>
        <w:rPr>
          <w:rFonts w:hint="eastAsia" w:ascii="宋体" w:hAnsi="宋体" w:cs="宋体"/>
          <w:color w:val="auto"/>
          <w:sz w:val="21"/>
          <w:szCs w:val="21"/>
          <w:highlight w:val="none"/>
          <w:lang w:eastAsia="zh-TW"/>
        </w:rPr>
        <w:t>第</w:t>
      </w:r>
      <w:r>
        <w:rPr>
          <w:rFonts w:hint="eastAsia" w:ascii="宋体" w:hAnsi="宋体" w:cs="宋体"/>
          <w:color w:val="auto"/>
          <w:sz w:val="21"/>
          <w:szCs w:val="21"/>
          <w:highlight w:val="none"/>
        </w:rPr>
        <w:t>五</w:t>
      </w:r>
      <w:r>
        <w:rPr>
          <w:rFonts w:hint="eastAsia" w:ascii="宋体" w:hAnsi="宋体" w:cs="宋体"/>
          <w:color w:val="auto"/>
          <w:sz w:val="21"/>
          <w:szCs w:val="21"/>
          <w:highlight w:val="none"/>
          <w:lang w:eastAsia="zh-TW"/>
        </w:rPr>
        <w:t>章</w:t>
      </w:r>
      <w:r>
        <w:rPr>
          <w:rFonts w:hint="eastAsia" w:ascii="宋体" w:hAnsi="宋体" w:cs="宋体"/>
          <w:color w:val="auto"/>
          <w:sz w:val="21"/>
          <w:szCs w:val="21"/>
          <w:highlight w:val="none"/>
        </w:rPr>
        <w:t>　</w:t>
      </w:r>
      <w:r>
        <w:rPr>
          <w:rFonts w:hint="eastAsia" w:ascii="宋体" w:hAnsi="宋体" w:cs="宋体"/>
          <w:color w:val="auto"/>
          <w:sz w:val="21"/>
          <w:szCs w:val="21"/>
          <w:highlight w:val="none"/>
          <w:lang w:eastAsia="zh-TW"/>
        </w:rPr>
        <w:t>合同</w:t>
      </w:r>
      <w:r>
        <w:rPr>
          <w:rFonts w:hint="eastAsia" w:ascii="宋体" w:hAnsi="宋体" w:cs="宋体"/>
          <w:color w:val="auto"/>
          <w:sz w:val="21"/>
          <w:szCs w:val="21"/>
          <w:highlight w:val="none"/>
        </w:rPr>
        <w:t>通用</w:t>
      </w:r>
      <w:r>
        <w:rPr>
          <w:rFonts w:hint="eastAsia" w:ascii="宋体" w:hAnsi="宋体" w:cs="宋体"/>
          <w:color w:val="auto"/>
          <w:sz w:val="21"/>
          <w:szCs w:val="21"/>
          <w:highlight w:val="none"/>
          <w:lang w:eastAsia="zh-TW"/>
        </w:rPr>
        <w:t>条款</w:t>
      </w:r>
    </w:p>
    <w:p>
      <w:pPr>
        <w:spacing w:line="360" w:lineRule="auto"/>
        <w:ind w:left="992" w:leftChars="496" w:firstLine="1"/>
        <w:rPr>
          <w:rFonts w:ascii="宋体" w:hAnsi="宋体" w:cs="宋体"/>
          <w:color w:val="auto"/>
          <w:sz w:val="21"/>
          <w:szCs w:val="21"/>
          <w:highlight w:val="none"/>
        </w:rPr>
      </w:pPr>
      <w:r>
        <w:rPr>
          <w:rFonts w:hint="eastAsia" w:ascii="宋体" w:hAnsi="宋体" w:cs="宋体"/>
          <w:color w:val="auto"/>
          <w:sz w:val="21"/>
          <w:szCs w:val="21"/>
          <w:highlight w:val="none"/>
        </w:rPr>
        <w:t>第六章　投标文件格式</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投标人应认真阅读</w:t>
      </w:r>
      <w:r>
        <w:rPr>
          <w:rFonts w:hint="eastAsia" w:ascii="宋体" w:hAnsi="宋体" w:cs="宋体"/>
          <w:color w:val="auto"/>
          <w:sz w:val="21"/>
          <w:szCs w:val="21"/>
          <w:highlight w:val="none"/>
          <w:lang w:eastAsia="zh-TW"/>
        </w:rPr>
        <w:t>、并充分理解招标文件的全部内容（包括所有的补充、修改内容重要事项、格式、条款</w:t>
      </w:r>
      <w:r>
        <w:rPr>
          <w:rFonts w:hint="eastAsia" w:ascii="宋体" w:hAnsi="宋体" w:cs="宋体"/>
          <w:color w:val="auto"/>
          <w:sz w:val="21"/>
          <w:szCs w:val="21"/>
          <w:highlight w:val="none"/>
        </w:rPr>
        <w:t>、服务要求</w:t>
      </w:r>
      <w:r>
        <w:rPr>
          <w:rFonts w:hint="eastAsia" w:ascii="宋体" w:hAnsi="宋体" w:cs="宋体"/>
          <w:color w:val="auto"/>
          <w:sz w:val="21"/>
          <w:szCs w:val="21"/>
          <w:highlight w:val="none"/>
          <w:lang w:eastAsia="zh-TW"/>
        </w:rPr>
        <w:t>和技术规范、参数及要求等）。投标人没有按照招标文件要求提交全部资料，或者投标文件没有对招标文件在各方面都作出实质性响应是投标人的风险，有可能导致其投标被拒绝，</w:t>
      </w:r>
      <w:r>
        <w:rPr>
          <w:rFonts w:hint="eastAsia" w:ascii="宋体" w:hAnsi="宋体" w:cs="宋体"/>
          <w:color w:val="auto"/>
          <w:sz w:val="21"/>
          <w:szCs w:val="21"/>
          <w:highlight w:val="none"/>
        </w:rPr>
        <w:t>或被认定为无效投标或被确定为投标无效。</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本招标文件的解释权归</w:t>
      </w:r>
      <w:r>
        <w:rPr>
          <w:rFonts w:hint="eastAsia" w:ascii="宋体" w:hAnsi="宋体" w:cs="宋体"/>
          <w:color w:val="auto"/>
          <w:sz w:val="21"/>
          <w:szCs w:val="21"/>
          <w:highlight w:val="none"/>
          <w:lang w:eastAsia="zh-TW"/>
        </w:rPr>
        <w:t>“</w:t>
      </w:r>
      <w:r>
        <w:rPr>
          <w:rFonts w:hint="eastAsia" w:ascii="宋体" w:hAnsi="宋体" w:cs="宋体"/>
          <w:color w:val="auto"/>
          <w:sz w:val="21"/>
          <w:szCs w:val="21"/>
          <w:highlight w:val="none"/>
        </w:rPr>
        <w:t>方禾（广东）项目管理有限公司</w:t>
      </w:r>
      <w:r>
        <w:rPr>
          <w:rFonts w:hint="eastAsia" w:ascii="宋体" w:hAnsi="宋体" w:cs="宋体"/>
          <w:color w:val="auto"/>
          <w:sz w:val="21"/>
          <w:szCs w:val="21"/>
          <w:highlight w:val="none"/>
          <w:lang w:eastAsia="zh-TW"/>
        </w:rPr>
        <w:t>”所有。</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招标文件的澄清或修改</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任何要求对招标文件有异议的投标人，均应按招标公告中约定的时间内网上提交。招标代理机构将组织招标人对投标人所要求澄清或者修改的内容予以答复（答复中不包括问题的来源）。</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投标人在规定的时间内未对招标文件澄清或修改或提出疑问的，招标代理机构将视其为无异议。对招标文件中描述有歧义或前后不一致的地方，评审委员会有权进行评判，但对同一条款的评判应适用于每个投标人。</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答疑、澄清或修改的内容将在网上发布，网上发布将视为送达，投标人应主动查看网上信息。</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投标人应仔细阅读和检查招标文件的全部内容。如发现缺页或附件不全，应及时向招标人或者招标代理机构提出，以便补齐。如有疑问，应在招标公告规定的时间前以网络形式，要求招标人对招标文件予以澄清。</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澄清或修改不足15日的，但可能不影响投标文件编制的，招标人或者招标代理机构在征得当时已</w:t>
      </w:r>
      <w:r>
        <w:rPr>
          <w:rFonts w:hint="eastAsia" w:ascii="宋体" w:hAnsi="宋体" w:cs="宋体"/>
          <w:color w:val="auto"/>
          <w:sz w:val="21"/>
          <w:szCs w:val="21"/>
          <w:highlight w:val="none"/>
          <w:lang w:eastAsia="zh-CN"/>
        </w:rPr>
        <w:t>获取</w:t>
      </w:r>
      <w:r>
        <w:rPr>
          <w:rFonts w:hint="eastAsia" w:ascii="宋体" w:hAnsi="宋体" w:cs="宋体"/>
          <w:color w:val="auto"/>
          <w:sz w:val="21"/>
          <w:szCs w:val="21"/>
          <w:highlight w:val="none"/>
          <w:lang w:eastAsia="zh-TW"/>
        </w:rPr>
        <w:t>招标文件的潜在投标人同意并书面确认后，可不改变提交投标文件的截止时间。</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招标人或者招标代理机构将澄清（更正/变更）公告以书面形式通知所有获取招标文件的潜在投标人，潜在投标人在收到澄清（更正/变更）公告。</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招标人或招标代理机构发出的澄清或修改（更正/变更）的内容为招标文件的组成部分，并对潜在投标人具有约束力。</w:t>
      </w:r>
    </w:p>
    <w:p>
      <w:pPr>
        <w:numPr>
          <w:ilvl w:val="1"/>
          <w:numId w:val="19"/>
        </w:numPr>
        <w:spacing w:line="360" w:lineRule="auto"/>
        <w:jc w:val="both"/>
        <w:rPr>
          <w:color w:val="auto"/>
          <w:highlight w:val="none"/>
          <w:lang w:eastAsia="zh-TW"/>
        </w:rPr>
      </w:pPr>
      <w:r>
        <w:rPr>
          <w:rFonts w:hint="eastAsia" w:ascii="宋体" w:hAnsi="宋体" w:cs="宋体"/>
          <w:color w:val="auto"/>
          <w:sz w:val="21"/>
          <w:szCs w:val="21"/>
          <w:highlight w:val="none"/>
          <w:lang w:eastAsia="zh-TW"/>
        </w:rPr>
        <w:t>凡在网站发布的公告，与招标文件具有同等法律效力，将被视为对所有投标人进行了有效通知。</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招标文件的</w:t>
      </w:r>
      <w:r>
        <w:rPr>
          <w:rFonts w:hint="eastAsia" w:ascii="宋体" w:hAnsi="宋体" w:cs="宋体"/>
          <w:b/>
          <w:bCs/>
          <w:color w:val="auto"/>
          <w:sz w:val="21"/>
          <w:szCs w:val="21"/>
          <w:highlight w:val="none"/>
          <w:lang w:eastAsia="zh-CN"/>
        </w:rPr>
        <w:t>澄清</w:t>
      </w:r>
      <w:r>
        <w:rPr>
          <w:rFonts w:hint="eastAsia" w:ascii="宋体" w:hAnsi="宋体" w:cs="宋体"/>
          <w:b/>
          <w:bCs/>
          <w:color w:val="auto"/>
          <w:sz w:val="21"/>
          <w:szCs w:val="21"/>
          <w:highlight w:val="none"/>
        </w:rPr>
        <w:t>及答疑</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任何要求对招标文件澄清的投标人，均应按招标公告中约定的时间内网上提交。招标代理机构将组织招标人对投标人所要求澄清的内容均予以答复（答复中不包括问题的来源）。</w:t>
      </w:r>
    </w:p>
    <w:p>
      <w:pPr>
        <w:numPr>
          <w:ilvl w:val="1"/>
          <w:numId w:val="19"/>
        </w:numPr>
        <w:spacing w:line="360" w:lineRule="auto"/>
        <w:jc w:val="both"/>
        <w:rPr>
          <w:rFonts w:ascii="宋体" w:hAnsi="宋体" w:cs="宋体"/>
          <w:color w:val="auto"/>
          <w:sz w:val="21"/>
          <w:szCs w:val="21"/>
          <w:highlight w:val="none"/>
          <w:lang w:eastAsia="zh-TW"/>
        </w:rPr>
      </w:pPr>
      <w:bookmarkStart w:id="6" w:name="bookmark281"/>
      <w:bookmarkEnd w:id="6"/>
      <w:r>
        <w:rPr>
          <w:rFonts w:hint="eastAsia" w:ascii="宋体" w:hAnsi="宋体" w:cs="宋体"/>
          <w:color w:val="auto"/>
          <w:sz w:val="21"/>
          <w:szCs w:val="21"/>
          <w:highlight w:val="none"/>
          <w:lang w:eastAsia="zh-TW"/>
        </w:rPr>
        <w:t>澄清答疑内容将在网上发布，网上发布将视为送达，投标人应主动查看网上信息。</w:t>
      </w:r>
    </w:p>
    <w:p>
      <w:pPr>
        <w:numPr>
          <w:ilvl w:val="1"/>
          <w:numId w:val="19"/>
        </w:numPr>
        <w:spacing w:line="360" w:lineRule="auto"/>
        <w:jc w:val="both"/>
        <w:rPr>
          <w:rFonts w:ascii="宋体" w:hAnsi="宋体" w:cs="宋体"/>
          <w:color w:val="auto"/>
          <w:sz w:val="21"/>
          <w:szCs w:val="21"/>
          <w:highlight w:val="none"/>
          <w:lang w:eastAsia="zh-TW"/>
        </w:rPr>
      </w:pPr>
      <w:bookmarkStart w:id="7" w:name="bookmark282"/>
      <w:bookmarkEnd w:id="7"/>
      <w:r>
        <w:rPr>
          <w:rFonts w:hint="eastAsia" w:ascii="宋体" w:hAnsi="宋体" w:cs="宋体"/>
          <w:color w:val="auto"/>
          <w:sz w:val="21"/>
          <w:szCs w:val="21"/>
          <w:highlight w:val="none"/>
          <w:lang w:eastAsia="zh-TW"/>
        </w:rPr>
        <w:t>投标人在规定的时间内未对招标文件提出澄清要求或疑问的，招标代理机构将视其为无异议。对招标文件中描述有歧意或前后不一致的地方，评标委员会有权进行评判，但对同一条款的评判应适用于每个投标人。</w:t>
      </w:r>
    </w:p>
    <w:p>
      <w:pPr>
        <w:pStyle w:val="4"/>
        <w:jc w:val="center"/>
        <w:rPr>
          <w:rFonts w:ascii="宋体" w:hAnsi="宋体" w:cs="宋体"/>
          <w:color w:val="auto"/>
          <w:highlight w:val="none"/>
        </w:rPr>
      </w:pPr>
      <w:r>
        <w:rPr>
          <w:rFonts w:hint="eastAsia" w:ascii="宋体" w:hAnsi="宋体" w:cs="宋体"/>
          <w:color w:val="auto"/>
          <w:highlight w:val="none"/>
        </w:rPr>
        <w:t>三、投标文件的编制</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投标的语言及构成</w:t>
      </w:r>
    </w:p>
    <w:p>
      <w:pPr>
        <w:numPr>
          <w:ilvl w:val="1"/>
          <w:numId w:val="19"/>
        </w:numPr>
        <w:spacing w:line="360" w:lineRule="auto"/>
        <w:jc w:val="both"/>
        <w:rPr>
          <w:rFonts w:ascii="宋体" w:hAnsi="宋体" w:cs="宋体"/>
          <w:b/>
          <w:bCs/>
          <w:color w:val="auto"/>
          <w:sz w:val="21"/>
          <w:szCs w:val="21"/>
          <w:highlight w:val="none"/>
        </w:rPr>
      </w:pPr>
      <w:r>
        <w:rPr>
          <w:rFonts w:hint="eastAsia" w:ascii="宋体" w:hAnsi="宋体" w:cs="宋体"/>
          <w:color w:val="auto"/>
          <w:sz w:val="21"/>
          <w:szCs w:val="21"/>
          <w:highlight w:val="none"/>
        </w:rPr>
        <w:t>投标人提交的投标文件以及投标人与招标人及招标代理机构就有关投标的所有来往函电均应使用中文书写。投</w:t>
      </w:r>
      <w:r>
        <w:rPr>
          <w:rFonts w:hint="eastAsia" w:ascii="宋体" w:hAnsi="宋体" w:cs="宋体"/>
          <w:color w:val="auto"/>
          <w:sz w:val="21"/>
          <w:szCs w:val="21"/>
          <w:highlight w:val="none"/>
          <w:lang w:eastAsia="zh-TW"/>
        </w:rPr>
        <w:t>标人提交的支持资料</w:t>
      </w:r>
      <w:r>
        <w:rPr>
          <w:rFonts w:hint="eastAsia" w:ascii="宋体" w:hAnsi="宋体" w:cs="宋体"/>
          <w:color w:val="auto"/>
          <w:sz w:val="21"/>
          <w:szCs w:val="21"/>
          <w:highlight w:val="none"/>
        </w:rPr>
        <w:t>或印刷的资料</w:t>
      </w:r>
      <w:r>
        <w:rPr>
          <w:rFonts w:hint="eastAsia" w:ascii="宋体" w:hAnsi="宋体" w:cs="宋体"/>
          <w:color w:val="auto"/>
          <w:sz w:val="21"/>
          <w:szCs w:val="21"/>
          <w:highlight w:val="none"/>
          <w:lang w:eastAsia="zh-TW"/>
        </w:rPr>
        <w:t>可以用另一种语言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但相应内容应附有中文翻译本</w:t>
      </w:r>
      <w:r>
        <w:rPr>
          <w:rFonts w:hint="eastAsia" w:ascii="宋体" w:hAnsi="宋体" w:cs="宋体"/>
          <w:color w:val="auto"/>
          <w:sz w:val="21"/>
          <w:szCs w:val="21"/>
          <w:highlight w:val="none"/>
        </w:rPr>
        <w:t>，由翻译机构盖章或者翻译人员签名，两种语言不一致时以中文翻译本为准</w:t>
      </w:r>
      <w:r>
        <w:rPr>
          <w:rFonts w:hint="eastAsia" w:ascii="宋体" w:hAnsi="宋体" w:cs="宋体"/>
          <w:color w:val="auto"/>
          <w:sz w:val="21"/>
          <w:szCs w:val="21"/>
          <w:highlight w:val="none"/>
          <w:lang w:eastAsia="zh-TW"/>
        </w:rPr>
        <w:t>。</w:t>
      </w:r>
      <w:r>
        <w:rPr>
          <w:rFonts w:hint="eastAsia" w:ascii="宋体" w:hAnsi="宋体" w:cs="宋体"/>
          <w:color w:val="auto"/>
          <w:sz w:val="21"/>
          <w:szCs w:val="21"/>
          <w:highlight w:val="none"/>
        </w:rPr>
        <w:t>对中文翻译有异议的，以权威机构的译本为准</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投标文件的构成：</w:t>
      </w:r>
    </w:p>
    <w:p>
      <w:pPr>
        <w:pStyle w:val="2"/>
        <w:spacing w:before="0" w:after="0" w:line="360"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9.2.1 投标文件的构成应符合法律法规及招标文件的要求。</w:t>
      </w:r>
    </w:p>
    <w:p>
      <w:pPr>
        <w:spacing w:line="360" w:lineRule="auto"/>
        <w:ind w:left="598" w:hanging="598" w:hangingChars="285"/>
        <w:rPr>
          <w:rFonts w:ascii="宋体" w:hAnsi="宋体" w:cs="宋体"/>
          <w:color w:val="auto"/>
          <w:sz w:val="21"/>
          <w:szCs w:val="21"/>
          <w:highlight w:val="none"/>
        </w:rPr>
      </w:pPr>
      <w:r>
        <w:rPr>
          <w:rFonts w:hint="eastAsia" w:ascii="宋体" w:hAnsi="宋体" w:cs="宋体"/>
          <w:color w:val="auto"/>
          <w:sz w:val="21"/>
          <w:szCs w:val="21"/>
          <w:highlight w:val="none"/>
        </w:rPr>
        <w:t>9.2.2 投标人应按本招标文件规定的内容和格式编制并提交投标文件，投标文件应参照招标文件第六部分的内容哟求、编排顺序和格式要求，按书序编排成册，提供全面的投标文件。包含但不限于以下内容：</w:t>
      </w:r>
    </w:p>
    <w:p>
      <w:pPr>
        <w:pStyle w:val="2"/>
        <w:numPr>
          <w:ilvl w:val="0"/>
          <w:numId w:val="20"/>
        </w:numPr>
        <w:spacing w:before="0" w:after="0" w:line="360" w:lineRule="auto"/>
        <w:ind w:left="60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按本须知的规定填写的投标函、开标一览表；</w:t>
      </w:r>
    </w:p>
    <w:p>
      <w:pPr>
        <w:numPr>
          <w:ilvl w:val="0"/>
          <w:numId w:val="20"/>
        </w:numPr>
        <w:spacing w:line="360" w:lineRule="auto"/>
        <w:ind w:left="600"/>
        <w:rPr>
          <w:rFonts w:ascii="宋体" w:hAnsi="宋体" w:cs="宋体"/>
          <w:color w:val="auto"/>
          <w:sz w:val="21"/>
          <w:szCs w:val="21"/>
          <w:highlight w:val="none"/>
        </w:rPr>
      </w:pPr>
      <w:r>
        <w:rPr>
          <w:rFonts w:hint="eastAsia" w:ascii="宋体" w:hAnsi="宋体" w:cs="宋体"/>
          <w:color w:val="auto"/>
          <w:sz w:val="21"/>
          <w:szCs w:val="21"/>
          <w:highlight w:val="none"/>
        </w:rPr>
        <w:t>按本须知的要求出具资格证明文件，证明投标人是合格的，而且中标后有能力履行合同；</w:t>
      </w:r>
    </w:p>
    <w:p>
      <w:pPr>
        <w:pStyle w:val="2"/>
        <w:numPr>
          <w:ilvl w:val="0"/>
          <w:numId w:val="20"/>
        </w:numPr>
        <w:spacing w:before="0" w:after="0" w:line="360" w:lineRule="auto"/>
        <w:ind w:left="60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按本须知的规定提交的投标保证金；</w:t>
      </w:r>
    </w:p>
    <w:p>
      <w:pPr>
        <w:numPr>
          <w:ilvl w:val="0"/>
          <w:numId w:val="20"/>
        </w:numPr>
        <w:spacing w:line="360" w:lineRule="auto"/>
        <w:ind w:left="600"/>
        <w:rPr>
          <w:rFonts w:ascii="宋体" w:hAnsi="宋体" w:cs="宋体"/>
          <w:color w:val="auto"/>
          <w:sz w:val="21"/>
          <w:szCs w:val="21"/>
          <w:highlight w:val="none"/>
        </w:rPr>
      </w:pPr>
      <w:r>
        <w:rPr>
          <w:rFonts w:hint="eastAsia" w:ascii="宋体" w:hAnsi="宋体" w:cs="宋体"/>
          <w:color w:val="auto"/>
          <w:sz w:val="21"/>
          <w:szCs w:val="21"/>
          <w:highlight w:val="none"/>
        </w:rPr>
        <w:t>对招标文件第二部分作出的书面响应，包括但不限于技术建议书、技术规格、技术参数、技术文件及图纸、</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要求等。</w:t>
      </w:r>
    </w:p>
    <w:p>
      <w:pPr>
        <w:numPr>
          <w:ilvl w:val="0"/>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投标文件的编写</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本项目为</w:t>
      </w:r>
      <w:r>
        <w:rPr>
          <w:rFonts w:hint="eastAsia" w:ascii="宋体" w:hAnsi="宋体" w:cs="宋体"/>
          <w:color w:val="auto"/>
          <w:sz w:val="21"/>
          <w:szCs w:val="21"/>
          <w:highlight w:val="none"/>
          <w:lang w:eastAsia="zh-CN"/>
        </w:rPr>
        <w:t>网上开标</w:t>
      </w:r>
      <w:r>
        <w:rPr>
          <w:rFonts w:hint="eastAsia" w:ascii="宋体" w:hAnsi="宋体" w:cs="宋体"/>
          <w:color w:val="auto"/>
          <w:sz w:val="21"/>
          <w:szCs w:val="21"/>
          <w:highlight w:val="none"/>
        </w:rPr>
        <w:t>的项目，投标人须递交具备法律效力的电子投标文件，不再提供纸质投标文件。</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电子投标文件应根据招标文件及综合交易系统的要求编制，不按要求编制导致电子投标文件无法读取或无法打开的，按废标处理。</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投标文件份数：以电子文件形式通过“</w:t>
      </w:r>
      <w:r>
        <w:rPr>
          <w:rFonts w:hint="eastAsia" w:ascii="宋体" w:hAnsi="宋体" w:cs="宋体"/>
          <w:color w:val="auto"/>
          <w:sz w:val="21"/>
          <w:szCs w:val="21"/>
          <w:highlight w:val="none"/>
          <w:lang w:eastAsia="zh-CN"/>
        </w:rPr>
        <w:t>中山市公共资源交易平台--电子交易系统--综合交易系统</w:t>
      </w:r>
      <w:r>
        <w:rPr>
          <w:rFonts w:hint="eastAsia" w:ascii="宋体" w:hAnsi="宋体" w:cs="宋体"/>
          <w:color w:val="auto"/>
          <w:sz w:val="21"/>
          <w:szCs w:val="21"/>
          <w:highlight w:val="none"/>
        </w:rPr>
        <w:t>”网上递交下列文件：电子标书1份，投标人在投标截止时间前自行向</w:t>
      </w:r>
      <w:r>
        <w:rPr>
          <w:rFonts w:hint="eastAsia" w:ascii="宋体" w:hAnsi="宋体" w:cs="宋体"/>
          <w:color w:val="auto"/>
          <w:sz w:val="21"/>
          <w:szCs w:val="21"/>
          <w:highlight w:val="none"/>
          <w:lang w:eastAsia="zh-CN"/>
        </w:rPr>
        <w:t>中山市公共资源交易平台--电子交易系统--综合交易系统</w:t>
      </w:r>
      <w:r>
        <w:rPr>
          <w:rFonts w:hint="eastAsia" w:ascii="宋体" w:hAnsi="宋体" w:cs="宋体"/>
          <w:color w:val="auto"/>
          <w:sz w:val="21"/>
          <w:szCs w:val="21"/>
          <w:highlight w:val="none"/>
        </w:rPr>
        <w:t>上传。</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电子投标文件编制要求：全部投标文件均应制作成PDF电子文件，文件大小应满足交易平台的要求。投标文件中需要盖章的，应按招标文件要求加盖公章后扫描成电子文档或采用单位数字证书在相应位置加盖电子印章。投标文件中需个人签字的，应按招标文件要求手签后扫描成电子文档。</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投标文件的构成包括但不限于 第六部分 投标文件格式 内容，投标人有义务按照以上构成要求将投标文件编上唯一的连贯页码、编排详细目录，不得出现重页或缺页。</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投标人应完整</w:t>
      </w:r>
      <w:r>
        <w:rPr>
          <w:rFonts w:hint="eastAsia" w:ascii="宋体" w:hAnsi="宋体" w:cs="宋体"/>
          <w:color w:val="auto"/>
          <w:sz w:val="21"/>
          <w:szCs w:val="21"/>
          <w:highlight w:val="none"/>
          <w:lang w:eastAsia="zh-TW"/>
        </w:rPr>
        <w:t>、真实、准确地填写招标文件中提供的投标函、</w:t>
      </w:r>
      <w:r>
        <w:rPr>
          <w:rFonts w:hint="eastAsia" w:ascii="宋体" w:hAnsi="宋体" w:cs="宋体"/>
          <w:color w:val="auto"/>
          <w:sz w:val="21"/>
          <w:szCs w:val="21"/>
          <w:highlight w:val="none"/>
        </w:rPr>
        <w:t>开标一览表</w:t>
      </w:r>
      <w:r>
        <w:rPr>
          <w:rFonts w:hint="eastAsia" w:ascii="宋体" w:hAnsi="宋体" w:cs="宋体"/>
          <w:color w:val="auto"/>
          <w:sz w:val="21"/>
          <w:szCs w:val="21"/>
          <w:highlight w:val="none"/>
          <w:lang w:eastAsia="zh-TW"/>
        </w:rPr>
        <w:t>、分项报价表（如适用）以及招标文件中规定的其它所有内容。</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投标人必须对投标文件所提供的全部资料的真实性承担法律责任</w:t>
      </w:r>
      <w:r>
        <w:rPr>
          <w:rFonts w:hint="eastAsia" w:ascii="宋体" w:hAnsi="宋体" w:cs="宋体"/>
          <w:color w:val="auto"/>
          <w:sz w:val="21"/>
          <w:szCs w:val="21"/>
          <w:highlight w:val="none"/>
          <w:lang w:eastAsia="zh-TW"/>
        </w:rPr>
        <w:t>，</w:t>
      </w:r>
      <w:r>
        <w:rPr>
          <w:rFonts w:hint="eastAsia" w:ascii="宋体" w:hAnsi="宋体" w:cs="宋体"/>
          <w:color w:val="auto"/>
          <w:sz w:val="21"/>
          <w:szCs w:val="21"/>
          <w:highlight w:val="none"/>
        </w:rPr>
        <w:t>并无条件接受招标人及招标代理机构等对其中任何资料进行核实的要求</w:t>
      </w:r>
      <w:r>
        <w:rPr>
          <w:rFonts w:hint="eastAsia" w:ascii="宋体" w:hAnsi="宋体" w:cs="宋体"/>
          <w:color w:val="auto"/>
          <w:sz w:val="21"/>
          <w:szCs w:val="21"/>
          <w:highlight w:val="none"/>
          <w:lang w:eastAsia="zh-TW"/>
        </w:rPr>
        <w:t>。</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如果因为投标人的投标文件只填写和提供了本招标文件要求的部分内容和附件</w:t>
      </w:r>
      <w:r>
        <w:rPr>
          <w:rFonts w:hint="eastAsia" w:ascii="宋体" w:hAnsi="宋体" w:cs="宋体"/>
          <w:color w:val="auto"/>
          <w:sz w:val="21"/>
          <w:szCs w:val="21"/>
          <w:highlight w:val="none"/>
          <w:lang w:eastAsia="zh-TW"/>
        </w:rPr>
        <w:t>，或没有提供招标文件中所要求的全部资料及数据，由此造成的后果和责任由投标人承担。</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投标报价</w:t>
      </w:r>
    </w:p>
    <w:p>
      <w:pPr>
        <w:numPr>
          <w:ilvl w:val="1"/>
          <w:numId w:val="19"/>
        </w:numPr>
        <w:spacing w:line="360" w:lineRule="auto"/>
        <w:jc w:val="both"/>
        <w:rPr>
          <w:rFonts w:ascii="宋体" w:hAnsi="宋体" w:cs="宋体"/>
          <w:b/>
          <w:bCs/>
          <w:color w:val="auto"/>
          <w:sz w:val="21"/>
          <w:szCs w:val="21"/>
          <w:highlight w:val="none"/>
        </w:rPr>
      </w:pPr>
      <w:r>
        <w:rPr>
          <w:rFonts w:hint="eastAsia" w:ascii="宋体" w:hAnsi="宋体" w:cs="宋体"/>
          <w:color w:val="auto"/>
          <w:sz w:val="21"/>
          <w:szCs w:val="21"/>
          <w:highlight w:val="none"/>
          <w:lang w:eastAsia="zh-TW"/>
        </w:rPr>
        <w:t>投标人应按照“第</w:t>
      </w:r>
      <w:r>
        <w:rPr>
          <w:rFonts w:hint="eastAsia" w:ascii="宋体" w:hAnsi="宋体" w:cs="宋体"/>
          <w:color w:val="auto"/>
          <w:sz w:val="21"/>
          <w:szCs w:val="21"/>
          <w:highlight w:val="none"/>
        </w:rPr>
        <w:t>三</w:t>
      </w:r>
      <w:r>
        <w:rPr>
          <w:rFonts w:hint="eastAsia" w:ascii="宋体" w:hAnsi="宋体" w:cs="宋体"/>
          <w:color w:val="auto"/>
          <w:sz w:val="21"/>
          <w:szCs w:val="21"/>
          <w:highlight w:val="none"/>
          <w:lang w:eastAsia="zh-TW"/>
        </w:rPr>
        <w:t>章　用户需求书”</w:t>
      </w:r>
      <w:r>
        <w:rPr>
          <w:rFonts w:hint="eastAsia" w:ascii="宋体" w:hAnsi="宋体" w:cs="宋体"/>
          <w:color w:val="auto"/>
          <w:sz w:val="21"/>
          <w:szCs w:val="21"/>
          <w:highlight w:val="none"/>
        </w:rPr>
        <w:t>中招标项目</w:t>
      </w:r>
      <w:r>
        <w:rPr>
          <w:rFonts w:hint="eastAsia" w:ascii="宋体" w:hAnsi="宋体" w:cs="宋体"/>
          <w:color w:val="auto"/>
          <w:sz w:val="21"/>
          <w:szCs w:val="21"/>
          <w:highlight w:val="none"/>
          <w:lang w:eastAsia="zh-TW"/>
        </w:rPr>
        <w:t>技术规格、参数及要求规定的内容</w:t>
      </w:r>
      <w:r>
        <w:rPr>
          <w:rFonts w:hint="eastAsia" w:ascii="宋体" w:hAnsi="宋体" w:cs="宋体"/>
          <w:color w:val="auto"/>
          <w:sz w:val="21"/>
          <w:szCs w:val="21"/>
          <w:highlight w:val="none"/>
        </w:rPr>
        <w:t>或招标项目服务</w:t>
      </w:r>
      <w:r>
        <w:rPr>
          <w:rFonts w:hint="eastAsia" w:ascii="宋体" w:hAnsi="宋体" w:cs="宋体"/>
          <w:color w:val="auto"/>
          <w:sz w:val="21"/>
          <w:szCs w:val="21"/>
          <w:highlight w:val="none"/>
          <w:lang w:eastAsia="zh-TW"/>
        </w:rPr>
        <w:t>要求规定的内容、责任范围进行报价。并按《</w:t>
      </w:r>
      <w:r>
        <w:rPr>
          <w:rFonts w:hint="eastAsia" w:ascii="宋体" w:hAnsi="宋体" w:cs="宋体"/>
          <w:color w:val="auto"/>
          <w:sz w:val="21"/>
          <w:szCs w:val="21"/>
          <w:highlight w:val="none"/>
        </w:rPr>
        <w:t>开标一览表</w:t>
      </w:r>
      <w:r>
        <w:rPr>
          <w:rFonts w:hint="eastAsia" w:ascii="宋体" w:hAnsi="宋体" w:cs="宋体"/>
          <w:color w:val="auto"/>
          <w:sz w:val="21"/>
          <w:szCs w:val="21"/>
          <w:highlight w:val="none"/>
          <w:lang w:eastAsia="zh-TW"/>
        </w:rPr>
        <w:t>》</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eastAsia="zh-TW"/>
        </w:rPr>
        <w:t>《</w:t>
      </w:r>
      <w:r>
        <w:rPr>
          <w:rFonts w:hint="eastAsia" w:ascii="宋体" w:hAnsi="宋体" w:cs="宋体"/>
          <w:color w:val="auto"/>
          <w:sz w:val="21"/>
          <w:szCs w:val="21"/>
          <w:highlight w:val="none"/>
        </w:rPr>
        <w:t>投标明细报价</w:t>
      </w:r>
      <w:r>
        <w:rPr>
          <w:rFonts w:hint="eastAsia" w:ascii="宋体" w:hAnsi="宋体" w:cs="宋体"/>
          <w:color w:val="auto"/>
          <w:sz w:val="21"/>
          <w:szCs w:val="21"/>
          <w:highlight w:val="none"/>
          <w:lang w:eastAsia="zh-TW"/>
        </w:rPr>
        <w:t>表》（如适用）的</w:t>
      </w:r>
      <w:r>
        <w:rPr>
          <w:rFonts w:hint="eastAsia" w:ascii="宋体" w:hAnsi="宋体" w:cs="宋体"/>
          <w:color w:val="auto"/>
          <w:sz w:val="21"/>
          <w:szCs w:val="21"/>
          <w:highlight w:val="none"/>
        </w:rPr>
        <w:t>要求</w:t>
      </w:r>
      <w:r>
        <w:rPr>
          <w:rFonts w:hint="eastAsia" w:ascii="宋体" w:hAnsi="宋体" w:cs="宋体"/>
          <w:color w:val="auto"/>
          <w:sz w:val="21"/>
          <w:szCs w:val="21"/>
          <w:highlight w:val="none"/>
          <w:lang w:eastAsia="zh-TW"/>
        </w:rPr>
        <w:t>报出总价和分项价格。</w:t>
      </w:r>
      <w:r>
        <w:rPr>
          <w:rFonts w:hint="eastAsia" w:ascii="宋体" w:hAnsi="宋体" w:cs="宋体"/>
          <w:color w:val="auto"/>
          <w:sz w:val="21"/>
          <w:szCs w:val="21"/>
          <w:highlight w:val="none"/>
        </w:rPr>
        <w:t>投标人</w:t>
      </w:r>
      <w:r>
        <w:rPr>
          <w:rFonts w:hint="eastAsia" w:ascii="宋体" w:hAnsi="宋体" w:cs="宋体"/>
          <w:color w:val="auto"/>
          <w:sz w:val="21"/>
          <w:szCs w:val="21"/>
          <w:highlight w:val="none"/>
          <w:lang w:eastAsia="zh-TW"/>
        </w:rPr>
        <w:t>按</w:t>
      </w:r>
      <w:r>
        <w:rPr>
          <w:rFonts w:hint="eastAsia" w:ascii="宋体" w:hAnsi="宋体" w:cs="宋体"/>
          <w:color w:val="auto"/>
          <w:sz w:val="21"/>
          <w:szCs w:val="21"/>
          <w:highlight w:val="none"/>
        </w:rPr>
        <w:t>招标</w:t>
      </w:r>
      <w:r>
        <w:rPr>
          <w:rFonts w:hint="eastAsia" w:ascii="宋体" w:hAnsi="宋体" w:cs="宋体"/>
          <w:color w:val="auto"/>
          <w:sz w:val="21"/>
          <w:szCs w:val="21"/>
          <w:highlight w:val="none"/>
          <w:lang w:eastAsia="zh-TW"/>
        </w:rPr>
        <w:t>文件的要求报出全部货物及服务内容所需的所有费用，包括但不限于</w:t>
      </w:r>
      <w:r>
        <w:rPr>
          <w:rFonts w:hint="eastAsia" w:ascii="宋体" w:hAnsi="宋体" w:cs="宋体"/>
          <w:b/>
          <w:color w:val="auto"/>
          <w:sz w:val="21"/>
          <w:szCs w:val="21"/>
          <w:highlight w:val="none"/>
        </w:rPr>
        <w:t>投标</w:t>
      </w:r>
      <w:r>
        <w:rPr>
          <w:rFonts w:hint="eastAsia" w:ascii="宋体" w:hAnsi="宋体" w:cs="宋体"/>
          <w:b/>
          <w:color w:val="auto"/>
          <w:sz w:val="21"/>
          <w:szCs w:val="21"/>
          <w:highlight w:val="none"/>
          <w:lang w:eastAsia="zh-TW"/>
        </w:rPr>
        <w:t>资料表</w:t>
      </w:r>
      <w:r>
        <w:rPr>
          <w:rFonts w:hint="eastAsia" w:ascii="宋体" w:hAnsi="宋体" w:cs="宋体"/>
          <w:color w:val="auto"/>
          <w:sz w:val="21"/>
          <w:szCs w:val="21"/>
          <w:highlight w:val="none"/>
          <w:lang w:eastAsia="zh-TW"/>
        </w:rPr>
        <w:t>中规定的。</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b/>
          <w:color w:val="auto"/>
          <w:sz w:val="21"/>
          <w:szCs w:val="21"/>
          <w:highlight w:val="none"/>
        </w:rPr>
        <w:t>（适用货物类项目）</w:t>
      </w:r>
      <w:r>
        <w:rPr>
          <w:rFonts w:hint="eastAsia" w:ascii="宋体" w:hAnsi="宋体" w:cs="宋体"/>
          <w:color w:val="auto"/>
          <w:sz w:val="21"/>
          <w:szCs w:val="21"/>
          <w:highlight w:val="none"/>
        </w:rPr>
        <w:t>投标分项报价表内容应包含：</w:t>
      </w:r>
    </w:p>
    <w:p>
      <w:pPr>
        <w:numPr>
          <w:ilvl w:val="2"/>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按招标文件的要求全部货物及服务内容所需的所有费用，包括但不限于项目的全部产品价格、服务价格、应向中华人民共和国政府缴纳的增值税和其它税等全部税费、运输、保险、安装、伴随服务、标准附件价、备品备件及专用工具价(如有)、以及履行合同所需的费用、所有风险、责任等其他一切隐含及不可预见的费用。如是提供境外的货物，还应包括货物从境外进口己缴纳或应缴纳的全部关税、增值税和其它税、报货物境外离岸价格、国外运输费、国外运输保险费等费用。</w:t>
      </w:r>
      <w:r>
        <w:rPr>
          <w:rFonts w:hint="eastAsia" w:ascii="宋体" w:hAnsi="宋体" w:cs="宋体"/>
          <w:b/>
          <w:color w:val="auto"/>
          <w:sz w:val="21"/>
          <w:szCs w:val="21"/>
          <w:highlight w:val="none"/>
        </w:rPr>
        <w:t>投标资料表</w:t>
      </w:r>
      <w:r>
        <w:rPr>
          <w:rFonts w:hint="eastAsia" w:ascii="宋体" w:hAnsi="宋体" w:cs="宋体"/>
          <w:color w:val="auto"/>
          <w:sz w:val="21"/>
          <w:szCs w:val="21"/>
          <w:highlight w:val="none"/>
        </w:rPr>
        <w:t>中对进口环节关税和增值税另有规定的，从其规定。</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投标人在中标并签署合同后，服务期限或供货期内出现货物（或服务）的任何遗漏，均由中标人负责，招标人将不再支付任何费用。</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除</w:t>
      </w:r>
      <w:r>
        <w:rPr>
          <w:rFonts w:hint="eastAsia" w:ascii="宋体" w:hAnsi="宋体" w:cs="宋体"/>
          <w:b/>
          <w:color w:val="auto"/>
          <w:sz w:val="21"/>
          <w:szCs w:val="21"/>
          <w:highlight w:val="none"/>
        </w:rPr>
        <w:t>“投标须知前附表”</w:t>
      </w:r>
      <w:r>
        <w:rPr>
          <w:rFonts w:hint="eastAsia" w:ascii="宋体" w:hAnsi="宋体" w:cs="宋体"/>
          <w:color w:val="auto"/>
          <w:sz w:val="21"/>
          <w:szCs w:val="21"/>
          <w:highlight w:val="none"/>
        </w:rPr>
        <w:t>中另有规定，</w:t>
      </w:r>
      <w:r>
        <w:rPr>
          <w:rFonts w:hint="eastAsia" w:ascii="宋体" w:hAnsi="宋体" w:cs="宋体"/>
          <w:color w:val="auto"/>
          <w:sz w:val="21"/>
          <w:szCs w:val="21"/>
          <w:highlight w:val="none"/>
          <w:lang w:eastAsia="zh-TW"/>
        </w:rPr>
        <w:t>投标人所报的投标价在合同执行过程中是固定不变的</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不得以任何理由予以变更。任何包含价格调整要求的投标被认为是非实质性响应投标而予以拒绝。</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除</w:t>
      </w:r>
      <w:r>
        <w:rPr>
          <w:rFonts w:hint="eastAsia" w:ascii="宋体" w:hAnsi="宋体" w:cs="宋体"/>
          <w:b/>
          <w:color w:val="auto"/>
          <w:sz w:val="21"/>
          <w:szCs w:val="21"/>
          <w:highlight w:val="none"/>
        </w:rPr>
        <w:t>“投标须知前附表”</w:t>
      </w:r>
      <w:r>
        <w:rPr>
          <w:rFonts w:hint="eastAsia" w:ascii="宋体" w:hAnsi="宋体" w:cs="宋体"/>
          <w:color w:val="auto"/>
          <w:sz w:val="21"/>
          <w:szCs w:val="21"/>
          <w:highlight w:val="none"/>
        </w:rPr>
        <w:t>中允许有备选方案外，本次招标不接受选择性报价，否则将被视为无效投标。</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除</w:t>
      </w:r>
      <w:r>
        <w:rPr>
          <w:rFonts w:hint="eastAsia" w:ascii="宋体" w:hAnsi="宋体" w:cs="宋体"/>
          <w:b/>
          <w:color w:val="auto"/>
          <w:sz w:val="21"/>
          <w:szCs w:val="21"/>
          <w:highlight w:val="none"/>
        </w:rPr>
        <w:t>“投标须知前附表”</w:t>
      </w:r>
      <w:r>
        <w:rPr>
          <w:rFonts w:hint="eastAsia" w:ascii="宋体" w:hAnsi="宋体" w:cs="宋体"/>
          <w:color w:val="auto"/>
          <w:sz w:val="21"/>
          <w:szCs w:val="21"/>
          <w:highlight w:val="none"/>
        </w:rPr>
        <w:t>另有规定外，本次招标不接受具有附加条件的报价，否则将被视为无效投标。</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投标货币</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如招标文件无特殊规定，投标人所提供的货物和服务均应以人民币报价。</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联合体投标</w:t>
      </w:r>
    </w:p>
    <w:p>
      <w:pPr>
        <w:numPr>
          <w:ilvl w:val="1"/>
          <w:numId w:val="19"/>
        </w:numPr>
        <w:spacing w:line="360" w:lineRule="auto"/>
        <w:jc w:val="both"/>
        <w:rPr>
          <w:rFonts w:ascii="宋体" w:hAnsi="宋体" w:cs="宋体"/>
          <w:b/>
          <w:bCs/>
          <w:color w:val="auto"/>
          <w:sz w:val="21"/>
          <w:szCs w:val="21"/>
          <w:highlight w:val="none"/>
        </w:rPr>
      </w:pPr>
      <w:r>
        <w:rPr>
          <w:rFonts w:hint="eastAsia" w:ascii="宋体" w:hAnsi="宋体" w:cs="宋体"/>
          <w:color w:val="auto"/>
          <w:sz w:val="21"/>
          <w:szCs w:val="21"/>
          <w:highlight w:val="none"/>
        </w:rPr>
        <w:t>除非“第一章投标邀请”中另有规定，不接受联合体投标。如果投标邀请中规定允许联合体投标的，则必须满足：</w:t>
      </w:r>
    </w:p>
    <w:p>
      <w:pPr>
        <w:numPr>
          <w:ilvl w:val="2"/>
          <w:numId w:val="19"/>
        </w:numPr>
        <w:spacing w:line="360" w:lineRule="auto"/>
        <w:ind w:left="840" w:hanging="840"/>
        <w:jc w:val="both"/>
        <w:rPr>
          <w:rFonts w:ascii="宋体" w:hAnsi="宋体" w:cs="宋体"/>
          <w:color w:val="auto"/>
          <w:sz w:val="21"/>
          <w:szCs w:val="21"/>
          <w:highlight w:val="none"/>
        </w:rPr>
      </w:pPr>
      <w:r>
        <w:rPr>
          <w:rFonts w:hint="eastAsia" w:ascii="宋体" w:hAnsi="宋体" w:cs="宋体"/>
          <w:color w:val="auto"/>
          <w:sz w:val="21"/>
          <w:szCs w:val="21"/>
          <w:highlight w:val="none"/>
        </w:rPr>
        <w:t>以联合</w:t>
      </w:r>
      <w:r>
        <w:rPr>
          <w:rFonts w:hint="eastAsia" w:ascii="宋体" w:hAnsi="宋体" w:cs="宋体"/>
          <w:color w:val="auto"/>
          <w:sz w:val="21"/>
          <w:szCs w:val="21"/>
          <w:highlight w:val="none"/>
          <w:lang w:eastAsia="zh-TW"/>
        </w:rPr>
        <w:t>体形</w:t>
      </w:r>
      <w:r>
        <w:rPr>
          <w:rFonts w:hint="eastAsia" w:ascii="宋体" w:hAnsi="宋体" w:cs="宋体"/>
          <w:color w:val="auto"/>
          <w:sz w:val="21"/>
          <w:szCs w:val="21"/>
          <w:highlight w:val="none"/>
        </w:rPr>
        <w:t xml:space="preserve">式参加投标的，联合体各方均应当具备承担招标项目的相应能力；国家有关规定或者招标文件对投标人资格条件有规定的，联合体各方均应当具备规定的相应资格条件； </w:t>
      </w:r>
    </w:p>
    <w:p>
      <w:pPr>
        <w:numPr>
          <w:ilvl w:val="2"/>
          <w:numId w:val="19"/>
        </w:numPr>
        <w:spacing w:line="360" w:lineRule="auto"/>
        <w:ind w:left="840" w:hanging="840"/>
        <w:jc w:val="both"/>
        <w:rPr>
          <w:rFonts w:ascii="宋体" w:hAnsi="宋体" w:cs="宋体"/>
          <w:color w:val="auto"/>
          <w:sz w:val="21"/>
          <w:szCs w:val="21"/>
          <w:highlight w:val="none"/>
        </w:rPr>
      </w:pPr>
      <w:r>
        <w:rPr>
          <w:rFonts w:hint="eastAsia" w:ascii="宋体" w:hAnsi="宋体" w:cs="宋体"/>
          <w:color w:val="auto"/>
          <w:sz w:val="21"/>
          <w:szCs w:val="21"/>
          <w:highlight w:val="none"/>
        </w:rPr>
        <w:t>以联合体形式参加投标的，由同一专业的单位组成的联合体，按照资质等级较低的单位确定资质等级。</w:t>
      </w:r>
    </w:p>
    <w:p>
      <w:pPr>
        <w:numPr>
          <w:ilvl w:val="2"/>
          <w:numId w:val="19"/>
        </w:numPr>
        <w:spacing w:line="360" w:lineRule="auto"/>
        <w:ind w:left="840" w:hanging="840"/>
        <w:jc w:val="both"/>
        <w:rPr>
          <w:rFonts w:ascii="宋体" w:hAnsi="宋体" w:cs="宋体"/>
          <w:color w:val="auto"/>
          <w:sz w:val="21"/>
          <w:szCs w:val="21"/>
          <w:highlight w:val="none"/>
        </w:rPr>
      </w:pPr>
      <w:r>
        <w:rPr>
          <w:rFonts w:hint="eastAsia" w:ascii="宋体" w:hAnsi="宋体" w:cs="宋体"/>
          <w:color w:val="auto"/>
          <w:sz w:val="21"/>
          <w:szCs w:val="21"/>
          <w:highlight w:val="none"/>
        </w:rPr>
        <w:t>联合体</w:t>
      </w:r>
      <w:r>
        <w:rPr>
          <w:rFonts w:hint="eastAsia" w:ascii="宋体" w:hAnsi="宋体" w:cs="宋体"/>
          <w:color w:val="auto"/>
          <w:sz w:val="21"/>
          <w:szCs w:val="21"/>
          <w:highlight w:val="none"/>
          <w:lang w:eastAsia="zh-TW"/>
        </w:rPr>
        <w:t>投标</w:t>
      </w:r>
      <w:r>
        <w:rPr>
          <w:rFonts w:hint="eastAsia" w:ascii="宋体" w:hAnsi="宋体" w:cs="宋体"/>
          <w:color w:val="auto"/>
          <w:sz w:val="21"/>
          <w:szCs w:val="21"/>
          <w:highlight w:val="none"/>
        </w:rPr>
        <w:t>的，必须提供各方签订的共同投标协议（联合投标协议书），明确约定各方承担的工作和相应的责任。联合体各方签订共同投标协议（联合投标协议书）后，不得再以自己名义单独在同一项目（或包组）中投标，也不得组成新的联合体参加同一项目（或包组）投标；</w:t>
      </w:r>
    </w:p>
    <w:p>
      <w:pPr>
        <w:numPr>
          <w:ilvl w:val="2"/>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联合体中标的，联合体各方应当共同与招标人签订合同。</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证明投标人合格和资格的文件</w:t>
      </w:r>
    </w:p>
    <w:p>
      <w:pPr>
        <w:numPr>
          <w:ilvl w:val="1"/>
          <w:numId w:val="19"/>
        </w:numPr>
        <w:spacing w:line="360" w:lineRule="auto"/>
        <w:jc w:val="both"/>
        <w:rPr>
          <w:rFonts w:ascii="宋体" w:hAnsi="宋体" w:cs="宋体"/>
          <w:b/>
          <w:bCs/>
          <w:color w:val="auto"/>
          <w:sz w:val="21"/>
          <w:szCs w:val="21"/>
          <w:highlight w:val="none"/>
        </w:rPr>
      </w:pPr>
      <w:r>
        <w:rPr>
          <w:rFonts w:hint="eastAsia" w:ascii="宋体" w:hAnsi="宋体" w:cs="宋体"/>
          <w:color w:val="auto"/>
          <w:sz w:val="21"/>
          <w:szCs w:val="21"/>
          <w:highlight w:val="none"/>
        </w:rPr>
        <w:t>投标人应提交证明其有资格参加投标和中标后有能力履行合同的文件，</w:t>
      </w:r>
      <w:r>
        <w:rPr>
          <w:rFonts w:hint="eastAsia" w:ascii="宋体" w:hAnsi="宋体" w:cs="宋体"/>
          <w:color w:val="auto"/>
          <w:sz w:val="21"/>
          <w:szCs w:val="21"/>
          <w:highlight w:val="none"/>
          <w:lang w:eastAsia="zh-TW"/>
        </w:rPr>
        <w:t>并作为其投标文件的一部分。如果投标人为联合体</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应提交联合体各方的资格证明文件、</w:t>
      </w:r>
      <w:r>
        <w:rPr>
          <w:rFonts w:hint="eastAsia" w:ascii="宋体" w:hAnsi="宋体" w:cs="宋体"/>
          <w:color w:val="auto"/>
          <w:sz w:val="21"/>
          <w:szCs w:val="21"/>
          <w:highlight w:val="none"/>
        </w:rPr>
        <w:t>共同投标协议</w:t>
      </w:r>
      <w:r>
        <w:rPr>
          <w:rFonts w:hint="eastAsia" w:ascii="宋体" w:hAnsi="宋体" w:cs="宋体"/>
          <w:color w:val="auto"/>
          <w:sz w:val="21"/>
          <w:szCs w:val="21"/>
          <w:highlight w:val="none"/>
          <w:lang w:eastAsia="zh-TW"/>
        </w:rPr>
        <w:t>并注明主体方</w:t>
      </w:r>
      <w:r>
        <w:rPr>
          <w:rFonts w:hint="eastAsia" w:ascii="宋体" w:hAnsi="宋体" w:cs="宋体"/>
          <w:color w:val="auto"/>
          <w:sz w:val="21"/>
          <w:szCs w:val="21"/>
          <w:highlight w:val="none"/>
        </w:rPr>
        <w:t>及各方拟承担的工作和责任。</w:t>
      </w:r>
      <w:r>
        <w:rPr>
          <w:rFonts w:hint="eastAsia" w:ascii="宋体" w:hAnsi="宋体" w:cs="宋体"/>
          <w:color w:val="auto"/>
          <w:sz w:val="21"/>
          <w:szCs w:val="21"/>
          <w:highlight w:val="none"/>
          <w:lang w:eastAsia="zh-TW"/>
        </w:rPr>
        <w:t>否则</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将导致其投标</w:t>
      </w:r>
      <w:r>
        <w:rPr>
          <w:rFonts w:hint="eastAsia" w:ascii="宋体" w:hAnsi="宋体" w:cs="宋体"/>
          <w:color w:val="auto"/>
          <w:sz w:val="21"/>
          <w:szCs w:val="21"/>
          <w:highlight w:val="none"/>
        </w:rPr>
        <w:t>无效。</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投标人提交的资格证明文件应证明其</w:t>
      </w:r>
      <w:r>
        <w:rPr>
          <w:rFonts w:hint="eastAsia" w:ascii="宋体" w:hAnsi="宋体" w:cs="宋体"/>
          <w:color w:val="auto"/>
          <w:sz w:val="21"/>
          <w:szCs w:val="21"/>
          <w:highlight w:val="none"/>
        </w:rPr>
        <w:t>满足本项目招标文件要求。</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备选方案</w:t>
      </w:r>
    </w:p>
    <w:p>
      <w:pPr>
        <w:numPr>
          <w:ilvl w:val="1"/>
          <w:numId w:val="19"/>
        </w:numPr>
        <w:spacing w:line="360" w:lineRule="auto"/>
        <w:jc w:val="both"/>
        <w:rPr>
          <w:rFonts w:ascii="宋体" w:hAnsi="宋体" w:cs="宋体"/>
          <w:b/>
          <w:bCs/>
          <w:color w:val="auto"/>
          <w:sz w:val="21"/>
          <w:szCs w:val="21"/>
          <w:highlight w:val="none"/>
        </w:rPr>
      </w:pPr>
      <w:r>
        <w:rPr>
          <w:rFonts w:hint="eastAsia" w:ascii="宋体" w:hAnsi="宋体" w:cs="宋体"/>
          <w:color w:val="auto"/>
          <w:sz w:val="21"/>
          <w:szCs w:val="21"/>
          <w:highlight w:val="none"/>
        </w:rPr>
        <w:t>投标人备选方案应符合招标文件要求。本项目不允许投标人递交备选方案。</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投标保证金</w:t>
      </w:r>
    </w:p>
    <w:p>
      <w:pPr>
        <w:numPr>
          <w:ilvl w:val="1"/>
          <w:numId w:val="19"/>
        </w:numPr>
        <w:spacing w:line="360" w:lineRule="auto"/>
        <w:jc w:val="both"/>
        <w:rPr>
          <w:rFonts w:ascii="宋体" w:hAnsi="宋体" w:cs="宋体"/>
          <w:b/>
          <w:bCs/>
          <w:color w:val="auto"/>
          <w:sz w:val="21"/>
          <w:szCs w:val="21"/>
          <w:highlight w:val="none"/>
        </w:rPr>
      </w:pPr>
      <w:r>
        <w:rPr>
          <w:rFonts w:hint="eastAsia" w:ascii="宋体" w:hAnsi="宋体" w:cs="宋体"/>
          <w:color w:val="auto"/>
          <w:sz w:val="21"/>
          <w:szCs w:val="21"/>
          <w:highlight w:val="none"/>
        </w:rPr>
        <w:t>投标人应按招标文件规定的金额和期限交纳投标保证金，投标保证金作为投标文件的组成部分。投标保证金账号由投标人通过综合交易系统申请并按照缴纳保证金通知书上内容缴纳</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投标人转账须使用基本</w:t>
      </w:r>
      <w:r>
        <w:rPr>
          <w:rFonts w:hint="eastAsia" w:ascii="宋体" w:hAnsi="宋体" w:cs="宋体"/>
          <w:color w:val="auto"/>
          <w:sz w:val="21"/>
          <w:szCs w:val="21"/>
          <w:highlight w:val="none"/>
          <w:lang w:eastAsia="zh-CN"/>
        </w:rPr>
        <w:t>账</w:t>
      </w:r>
      <w:r>
        <w:rPr>
          <w:rFonts w:hint="eastAsia" w:ascii="宋体" w:hAnsi="宋体" w:cs="宋体"/>
          <w:color w:val="auto"/>
          <w:sz w:val="21"/>
          <w:szCs w:val="21"/>
          <w:highlight w:val="none"/>
        </w:rPr>
        <w:t>户转账。如以电子保函方式提交投标保证金的，投标人凭电子招投标数字证书登入</w:t>
      </w:r>
      <w:r>
        <w:rPr>
          <w:rFonts w:hint="eastAsia" w:ascii="宋体" w:hAnsi="宋体" w:cs="宋体"/>
          <w:color w:val="auto"/>
          <w:sz w:val="21"/>
          <w:szCs w:val="21"/>
          <w:highlight w:val="none"/>
          <w:lang w:eastAsia="zh-CN"/>
        </w:rPr>
        <w:t>中山市公共资源交易平台--电子交易系统--综合交易系统</w:t>
      </w:r>
      <w:r>
        <w:rPr>
          <w:rFonts w:hint="eastAsia" w:ascii="宋体" w:hAnsi="宋体" w:cs="宋体"/>
          <w:color w:val="auto"/>
          <w:sz w:val="21"/>
          <w:szCs w:val="21"/>
          <w:highlight w:val="none"/>
        </w:rPr>
        <w:t>，在“保证金管理-缴纳保证金”档目页面，选择参与投标的项目，选择相关金融机构办理电子保函。电子保函的出具时间视同于保证金提交时间。电子保函有效期限到期后自动失效，若在有效期间内办理注销的，则在注销之日起失效。电子保函办理的由请流程及操作指引详见中山市公共资源交易中心门户网站的“服务指南一资料下载”-《电子保函操作手册(综合交易系统部分)》。</w:t>
      </w:r>
      <w:r>
        <w:rPr>
          <w:rFonts w:hint="eastAsia" w:ascii="宋体" w:hAnsi="宋体" w:cs="宋体"/>
          <w:b/>
          <w:bCs/>
          <w:color w:val="auto"/>
          <w:sz w:val="21"/>
          <w:szCs w:val="21"/>
          <w:highlight w:val="none"/>
        </w:rPr>
        <w:t>(注:投标人获取招标文件完成后，进入业务“缴纳保证金”页面，选择已获取招标文件项目，点击“缴纳投标保证金”按钮，打印缴纳投标保证金通知书(每个项目每次投标，每一家投标单位所获取的保证金账号均不相同)。</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投标保证金交纳形式：详见投标邀请函。</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投标保证金时间：详见招标公告。</w:t>
      </w:r>
    </w:p>
    <w:p>
      <w:pPr>
        <w:numPr>
          <w:ilvl w:val="1"/>
          <w:numId w:val="19"/>
        </w:numPr>
        <w:spacing w:line="360" w:lineRule="auto"/>
        <w:jc w:val="both"/>
        <w:rPr>
          <w:color w:val="auto"/>
          <w:highlight w:val="none"/>
        </w:rPr>
      </w:pPr>
      <w:r>
        <w:rPr>
          <w:rFonts w:hint="eastAsia" w:ascii="宋体" w:hAnsi="宋体" w:cs="宋体"/>
          <w:color w:val="auto"/>
          <w:sz w:val="21"/>
          <w:szCs w:val="21"/>
          <w:highlight w:val="none"/>
        </w:rPr>
        <w:t>凡未按规定交纳投标保证金的投标，为无效投标。</w:t>
      </w:r>
    </w:p>
    <w:p>
      <w:pPr>
        <w:numPr>
          <w:ilvl w:val="1"/>
          <w:numId w:val="19"/>
        </w:numPr>
        <w:spacing w:line="360" w:lineRule="auto"/>
        <w:jc w:val="both"/>
        <w:rPr>
          <w:color w:val="auto"/>
          <w:highlight w:val="none"/>
        </w:rPr>
      </w:pPr>
      <w:r>
        <w:rPr>
          <w:rFonts w:hint="eastAsia" w:ascii="宋体" w:hAnsi="宋体" w:cs="宋体"/>
          <w:color w:val="auto"/>
          <w:sz w:val="21"/>
          <w:szCs w:val="21"/>
          <w:highlight w:val="none"/>
        </w:rPr>
        <w:t>未中标的投标人保证金，在中标结果公告发出后5个工作日内退还。</w:t>
      </w:r>
    </w:p>
    <w:p>
      <w:pPr>
        <w:numPr>
          <w:ilvl w:val="1"/>
          <w:numId w:val="19"/>
        </w:numPr>
        <w:spacing w:line="360" w:lineRule="auto"/>
        <w:jc w:val="both"/>
        <w:rPr>
          <w:color w:val="auto"/>
          <w:highlight w:val="none"/>
        </w:rPr>
      </w:pPr>
      <w:r>
        <w:rPr>
          <w:rFonts w:hint="eastAsia" w:ascii="宋体" w:hAnsi="宋体" w:cs="宋体"/>
          <w:color w:val="auto"/>
          <w:sz w:val="21"/>
          <w:szCs w:val="21"/>
          <w:highlight w:val="none"/>
        </w:rPr>
        <w:t>中标人的投标保证金，在中标人与招标人签订书面合同后5个工作日内退还。</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退还投标保证金须同时满足以下要求：</w:t>
      </w:r>
    </w:p>
    <w:p>
      <w:pPr>
        <w:numPr>
          <w:ilvl w:val="2"/>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中标人将该合同原件送达方禾（广东）项目管理有限公司，招标代理机构收到合同后即在中山市公共资源交易平台上传合同；</w:t>
      </w:r>
    </w:p>
    <w:p>
      <w:pPr>
        <w:numPr>
          <w:ilvl w:val="2"/>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合同上传成功后，由招标代理机构向中山市公共资源交易中心申请退还中标人保证金。</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有下列情形之一的，投标保证金将被依法没收并上缴同级车库：</w:t>
      </w:r>
    </w:p>
    <w:p>
      <w:pPr>
        <w:numPr>
          <w:ilvl w:val="2"/>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中标后无正当理由放弃中标或不与招标人签订合同的；</w:t>
      </w:r>
    </w:p>
    <w:p>
      <w:pPr>
        <w:numPr>
          <w:ilvl w:val="2"/>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将中标项目转给他人，或者在投标文件中未说明，目未经招标人同意，违反招标文件规定，将中标项目分包给他人的</w:t>
      </w:r>
      <w:r>
        <w:rPr>
          <w:rFonts w:hint="eastAsia" w:ascii="宋体" w:hAnsi="宋体" w:cs="宋体"/>
          <w:color w:val="auto"/>
          <w:sz w:val="21"/>
          <w:szCs w:val="21"/>
          <w:highlight w:val="none"/>
        </w:rPr>
        <w:t>；</w:t>
      </w:r>
    </w:p>
    <w:p>
      <w:pPr>
        <w:numPr>
          <w:ilvl w:val="2"/>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中标人未在规定期限内与招标人签订合同，或未能按规定接受对错误的修正</w:t>
      </w:r>
      <w:r>
        <w:rPr>
          <w:rFonts w:hint="eastAsia" w:ascii="宋体" w:hAnsi="宋体" w:cs="宋体"/>
          <w:color w:val="auto"/>
          <w:sz w:val="21"/>
          <w:szCs w:val="21"/>
          <w:highlight w:val="none"/>
        </w:rPr>
        <w:t>；</w:t>
      </w:r>
    </w:p>
    <w:p>
      <w:pPr>
        <w:numPr>
          <w:ilvl w:val="2"/>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法律法规规定的情形</w:t>
      </w:r>
      <w:r>
        <w:rPr>
          <w:rFonts w:hint="eastAsia" w:ascii="宋体" w:hAnsi="宋体" w:cs="宋体"/>
          <w:color w:val="auto"/>
          <w:sz w:val="21"/>
          <w:szCs w:val="21"/>
          <w:highlight w:val="none"/>
        </w:rPr>
        <w:t>；</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如果中标人拒绝支付规定的招标代理服务费，招标代理机构/招标人保留取消其中标资格并追究其法律责任的权利。</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投标有效期及投标文件的签署</w:t>
      </w:r>
    </w:p>
    <w:p>
      <w:pPr>
        <w:numPr>
          <w:ilvl w:val="1"/>
          <w:numId w:val="19"/>
        </w:numPr>
        <w:spacing w:line="360" w:lineRule="auto"/>
        <w:jc w:val="both"/>
        <w:rPr>
          <w:rFonts w:ascii="宋体" w:hAnsi="宋体" w:cs="宋体"/>
          <w:b/>
          <w:bCs/>
          <w:color w:val="auto"/>
          <w:sz w:val="21"/>
          <w:szCs w:val="21"/>
          <w:highlight w:val="none"/>
        </w:rPr>
      </w:pPr>
      <w:r>
        <w:rPr>
          <w:rFonts w:hint="eastAsia" w:ascii="宋体" w:hAnsi="宋体" w:cs="宋体"/>
          <w:color w:val="auto"/>
          <w:sz w:val="21"/>
          <w:szCs w:val="21"/>
          <w:highlight w:val="none"/>
          <w:lang w:eastAsia="zh-TW"/>
        </w:rPr>
        <w:t>投标应自</w:t>
      </w:r>
      <w:r>
        <w:rPr>
          <w:rFonts w:hint="eastAsia" w:ascii="宋体" w:hAnsi="宋体" w:cs="宋体"/>
          <w:b/>
          <w:color w:val="auto"/>
          <w:sz w:val="21"/>
          <w:szCs w:val="21"/>
          <w:highlight w:val="none"/>
        </w:rPr>
        <w:t>“投标须知前附表”</w:t>
      </w:r>
      <w:r>
        <w:rPr>
          <w:rFonts w:hint="eastAsia" w:ascii="宋体" w:hAnsi="宋体" w:cs="宋体"/>
          <w:color w:val="auto"/>
          <w:sz w:val="21"/>
          <w:szCs w:val="21"/>
          <w:highlight w:val="none"/>
          <w:lang w:eastAsia="zh-TW"/>
        </w:rPr>
        <w:t>中规定的</w:t>
      </w:r>
      <w:r>
        <w:rPr>
          <w:rFonts w:hint="eastAsia" w:ascii="宋体" w:hAnsi="宋体" w:cs="宋体"/>
          <w:color w:val="auto"/>
          <w:sz w:val="21"/>
          <w:szCs w:val="21"/>
          <w:highlight w:val="none"/>
        </w:rPr>
        <w:t>投标文件递交截止时间</w:t>
      </w:r>
      <w:r>
        <w:rPr>
          <w:rFonts w:hint="eastAsia" w:ascii="宋体" w:hAnsi="宋体" w:cs="宋体"/>
          <w:color w:val="auto"/>
          <w:sz w:val="21"/>
          <w:szCs w:val="21"/>
          <w:highlight w:val="none"/>
          <w:lang w:eastAsia="zh-TW"/>
        </w:rPr>
        <w:t>起</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并在</w:t>
      </w:r>
      <w:r>
        <w:rPr>
          <w:rFonts w:hint="eastAsia" w:ascii="宋体" w:hAnsi="宋体" w:cs="宋体"/>
          <w:b/>
          <w:color w:val="auto"/>
          <w:sz w:val="21"/>
          <w:szCs w:val="21"/>
          <w:highlight w:val="none"/>
        </w:rPr>
        <w:t>“投标须知前附表”</w:t>
      </w:r>
      <w:r>
        <w:rPr>
          <w:rFonts w:hint="eastAsia" w:ascii="宋体" w:hAnsi="宋体" w:cs="宋体"/>
          <w:color w:val="auto"/>
          <w:sz w:val="21"/>
          <w:szCs w:val="21"/>
          <w:highlight w:val="none"/>
          <w:lang w:eastAsia="zh-TW"/>
        </w:rPr>
        <w:t>中所述期限内保持有效。投标有效期不足的投标将被视为非实质性响应</w:t>
      </w:r>
      <w:r>
        <w:rPr>
          <w:rFonts w:hint="eastAsia" w:ascii="宋体" w:hAnsi="宋体" w:cs="宋体"/>
          <w:color w:val="auto"/>
          <w:sz w:val="21"/>
          <w:szCs w:val="21"/>
          <w:highlight w:val="none"/>
        </w:rPr>
        <w:t>，视为投标无效</w:t>
      </w:r>
      <w:r>
        <w:rPr>
          <w:rFonts w:hint="eastAsia" w:ascii="宋体" w:hAnsi="宋体" w:cs="宋体"/>
          <w:color w:val="auto"/>
          <w:sz w:val="21"/>
          <w:szCs w:val="21"/>
          <w:highlight w:val="none"/>
          <w:lang w:eastAsia="zh-TW"/>
        </w:rPr>
        <w:t>。</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lang w:eastAsia="zh-TW"/>
        </w:rPr>
        <w:t>特殊情况下</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在原投标有效期截止之前</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招标代理机构可要求投标人延长投标有效期。这种要求与答复均应以书面形式提交。投标人可拒绝招标代理机构的这种要求</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其投标保证金将</w:t>
      </w:r>
      <w:r>
        <w:rPr>
          <w:rFonts w:hint="eastAsia" w:ascii="宋体" w:hAnsi="宋体" w:cs="宋体"/>
          <w:color w:val="auto"/>
          <w:sz w:val="21"/>
          <w:szCs w:val="21"/>
          <w:highlight w:val="none"/>
        </w:rPr>
        <w:t>予以退还，</w:t>
      </w:r>
      <w:r>
        <w:rPr>
          <w:rFonts w:hint="eastAsia" w:ascii="宋体" w:hAnsi="宋体" w:cs="宋体"/>
          <w:color w:val="auto"/>
          <w:sz w:val="21"/>
          <w:szCs w:val="21"/>
          <w:highlight w:val="none"/>
          <w:lang w:eastAsia="zh-TW"/>
        </w:rPr>
        <w:t>但其投标在原投标有效期期满后将不再有效。同意延长投标有效期的投标人将不会被要求和允许修正其投标</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而只会被要求相应地延长其投标保证金的有效期。在这种情况下</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本须知有关投标保证金的退还和没收的规定将在延长了的有效期内继续有效</w:t>
      </w:r>
    </w:p>
    <w:p>
      <w:pPr>
        <w:numPr>
          <w:ilvl w:val="1"/>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投标文件的签署：</w:t>
      </w:r>
    </w:p>
    <w:p>
      <w:pPr>
        <w:spacing w:line="360" w:lineRule="auto"/>
        <w:ind w:left="598" w:hanging="598" w:hangingChars="285"/>
        <w:jc w:val="both"/>
        <w:rPr>
          <w:rFonts w:ascii="宋体" w:hAnsi="宋体" w:cs="宋体"/>
          <w:color w:val="auto"/>
          <w:sz w:val="21"/>
          <w:szCs w:val="21"/>
          <w:highlight w:val="none"/>
        </w:rPr>
      </w:pPr>
      <w:r>
        <w:rPr>
          <w:rFonts w:hint="eastAsia" w:ascii="宋体" w:hAnsi="宋体" w:cs="宋体"/>
          <w:color w:val="auto"/>
          <w:sz w:val="21"/>
          <w:szCs w:val="21"/>
          <w:highlight w:val="none"/>
        </w:rPr>
        <w:t>17.3.1 投标文件由法定代表人或经其正式授权的代表签字。授权代表须出具书面授权证明，其《法定代表人授权书》应附在投标文件中。</w:t>
      </w:r>
    </w:p>
    <w:p>
      <w:pPr>
        <w:spacing w:line="360" w:lineRule="auto"/>
        <w:ind w:left="617" w:hanging="617" w:hangingChars="294"/>
        <w:jc w:val="both"/>
        <w:rPr>
          <w:rFonts w:ascii="宋体" w:hAnsi="宋体" w:cs="宋体"/>
          <w:color w:val="auto"/>
          <w:sz w:val="21"/>
          <w:szCs w:val="21"/>
          <w:highlight w:val="none"/>
        </w:rPr>
      </w:pPr>
      <w:r>
        <w:rPr>
          <w:rFonts w:hint="eastAsia" w:ascii="宋体" w:hAnsi="宋体" w:cs="宋体"/>
          <w:color w:val="auto"/>
          <w:sz w:val="21"/>
          <w:szCs w:val="21"/>
          <w:highlight w:val="none"/>
        </w:rPr>
        <w:t>17.3.2 投标文件中的任何重要的插字、涂改或增删，必须由法定代表人或经其正式授权的代表在旁边签名章或签字才视为有效。</w:t>
      </w:r>
    </w:p>
    <w:p>
      <w:pPr>
        <w:pStyle w:val="4"/>
        <w:jc w:val="center"/>
        <w:rPr>
          <w:rFonts w:ascii="宋体" w:hAnsi="宋体" w:cs="宋体"/>
          <w:color w:val="auto"/>
          <w:highlight w:val="none"/>
        </w:rPr>
      </w:pPr>
      <w:r>
        <w:rPr>
          <w:rFonts w:hint="eastAsia" w:ascii="宋体" w:hAnsi="宋体" w:cs="宋体"/>
          <w:color w:val="auto"/>
          <w:highlight w:val="none"/>
        </w:rPr>
        <w:t>四、投标文件的递交</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投标文件的递交</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本项目实行全流程电子化招投标，并采用“不见面开标”方式进行开标活动，投标人应当在投标截止时间前上传电子投标文件，地点为中山市公共资源交易网https://ggzyjy.zs.gov.cn/综合交易项目交易业务系统。</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投标文件电子文档必须采用数字证书进行上传，投标人应当按照招标文件和</w:t>
      </w:r>
      <w:r>
        <w:rPr>
          <w:rFonts w:hint="eastAsia" w:ascii="宋体" w:hAnsi="宋体" w:cs="宋体"/>
          <w:color w:val="auto"/>
          <w:sz w:val="21"/>
          <w:szCs w:val="21"/>
          <w:highlight w:val="none"/>
          <w:lang w:eastAsia="zh-CN"/>
        </w:rPr>
        <w:t>中山市公共资源交易平台--电子交易系统--综合交易系统</w:t>
      </w:r>
      <w:r>
        <w:rPr>
          <w:rFonts w:hint="eastAsia" w:ascii="宋体" w:hAnsi="宋体" w:cs="宋体"/>
          <w:color w:val="auto"/>
          <w:sz w:val="21"/>
          <w:szCs w:val="21"/>
          <w:highlight w:val="none"/>
        </w:rPr>
        <w:t>的要求加密投标文件。</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逾期送达(上传)的或者未送达(上传)指定地点的投标文件将被拒绝。</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除投标人须知前附表另有规定外，投标人所递交的投标文件不予退还。</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电子投标文件的修改与撤回</w:t>
      </w:r>
    </w:p>
    <w:p>
      <w:pPr>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在规定的投标截止时间前，投标人可以对所递交的电子投标文件进行补充、修改或撤回。在投标截止前修改投标文件的，投标人只要把已修改的电子投标文件加密后在投标截止前重新上传，计算机以最后收到的投标文件为准。</w:t>
      </w:r>
    </w:p>
    <w:p>
      <w:pPr>
        <w:pStyle w:val="4"/>
        <w:jc w:val="center"/>
        <w:rPr>
          <w:rFonts w:ascii="宋体" w:hAnsi="宋体" w:cs="宋体"/>
          <w:color w:val="auto"/>
          <w:highlight w:val="none"/>
        </w:rPr>
      </w:pPr>
      <w:r>
        <w:rPr>
          <w:rFonts w:hint="eastAsia" w:ascii="宋体" w:hAnsi="宋体" w:cs="宋体"/>
          <w:color w:val="auto"/>
          <w:highlight w:val="none"/>
        </w:rPr>
        <w:t>五、开标前、开标与评标</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开标前</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招标文件</w:t>
      </w:r>
      <w:r>
        <w:rPr>
          <w:rFonts w:hint="eastAsia" w:ascii="宋体" w:hAnsi="宋体" w:cs="宋体"/>
          <w:color w:val="auto"/>
          <w:sz w:val="21"/>
          <w:szCs w:val="21"/>
          <w:highlight w:val="none"/>
          <w:lang w:eastAsia="zh-CN"/>
        </w:rPr>
        <w:t>获取时间</w:t>
      </w:r>
      <w:r>
        <w:rPr>
          <w:rFonts w:hint="eastAsia" w:ascii="宋体" w:hAnsi="宋体" w:cs="宋体"/>
          <w:color w:val="auto"/>
          <w:sz w:val="21"/>
          <w:szCs w:val="21"/>
          <w:highlight w:val="none"/>
        </w:rPr>
        <w:t>截止后，获取招标文件的潜在投标人少于3个的，经招标人确认后，可以重新招标。</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开标</w:t>
      </w:r>
    </w:p>
    <w:p>
      <w:pPr>
        <w:numPr>
          <w:ilvl w:val="1"/>
          <w:numId w:val="19"/>
        </w:numPr>
        <w:spacing w:line="360" w:lineRule="auto"/>
        <w:jc w:val="both"/>
        <w:rPr>
          <w:rFonts w:ascii="宋体" w:hAnsi="宋体" w:cs="宋体"/>
          <w:b/>
          <w:bCs/>
          <w:color w:val="auto"/>
          <w:sz w:val="21"/>
          <w:szCs w:val="21"/>
          <w:highlight w:val="none"/>
        </w:rPr>
      </w:pPr>
      <w:r>
        <w:rPr>
          <w:rFonts w:hint="eastAsia" w:ascii="宋体" w:hAnsi="宋体" w:cs="宋体"/>
          <w:color w:val="auto"/>
          <w:sz w:val="21"/>
          <w:szCs w:val="21"/>
          <w:highlight w:val="none"/>
          <w:lang w:eastAsia="zh-CN"/>
        </w:rPr>
        <w:t>招标代理机构在“招标公告”中规定的日期、时间和地点组织公开开标</w:t>
      </w:r>
      <w:r>
        <w:rPr>
          <w:rFonts w:hint="eastAsia" w:ascii="宋体" w:hAnsi="宋体" w:cs="宋体"/>
          <w:color w:val="auto"/>
          <w:sz w:val="21"/>
          <w:szCs w:val="21"/>
          <w:highlight w:val="none"/>
          <w:lang w:eastAsia="zh-TW"/>
        </w:rPr>
        <w:t>。</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招标代理机构组织和主持开标会，本项目在中山市公共资源交易中心现场组织网上开标， 投标人无需抵达开标现场。投标人可登录中山市公共资源交易网（http//ggzvjy.zs.gov.cn）“综合交易系统”-“参与项目</w:t>
      </w:r>
      <w:r>
        <w:rPr>
          <w:rFonts w:ascii="宋体" w:hAnsi="宋体" w:cs="宋体"/>
          <w:color w:val="auto"/>
          <w:sz w:val="21"/>
          <w:szCs w:val="21"/>
          <w:highlight w:val="none"/>
        </w:rPr>
        <w:t>”</w:t>
      </w:r>
      <w:r>
        <w:rPr>
          <w:rFonts w:hint="eastAsia" w:ascii="宋体" w:hAnsi="宋体" w:cs="宋体"/>
          <w:color w:val="auto"/>
          <w:sz w:val="21"/>
          <w:szCs w:val="21"/>
          <w:highlight w:val="none"/>
        </w:rPr>
        <w:t>-“网上开标</w:t>
      </w:r>
      <w:r>
        <w:rPr>
          <w:rFonts w:ascii="宋体" w:hAnsi="宋体" w:cs="宋体"/>
          <w:color w:val="auto"/>
          <w:sz w:val="21"/>
          <w:szCs w:val="21"/>
          <w:highlight w:val="none"/>
        </w:rPr>
        <w:t>”</w:t>
      </w:r>
      <w:r>
        <w:rPr>
          <w:rFonts w:hint="eastAsia" w:ascii="宋体" w:hAnsi="宋体" w:cs="宋体"/>
          <w:color w:val="auto"/>
          <w:sz w:val="21"/>
          <w:szCs w:val="21"/>
          <w:highlight w:val="none"/>
        </w:rPr>
        <w:t>栏目查看项目开标过程，依法提出开标异议。</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投标人少于3个的，不得开标；招标人应当重新招标。</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投标人未参加开标的，视同认可开标结果。</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招标代理和交易中心对网上递交的投标文件进行双方解密。</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招标人或招标代理检查投标人的投标保证金的递交情况，唱标。</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开标结束。</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评标委员会和评标方法</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评标委员会</w:t>
      </w:r>
      <w:r>
        <w:rPr>
          <w:rFonts w:hint="eastAsia" w:ascii="宋体" w:hAnsi="宋体" w:cs="宋体"/>
          <w:color w:val="auto"/>
          <w:sz w:val="21"/>
          <w:szCs w:val="21"/>
          <w:highlight w:val="none"/>
          <w:lang w:eastAsia="zh-TW"/>
        </w:rPr>
        <w:t>人数按照</w:t>
      </w:r>
      <w:r>
        <w:rPr>
          <w:rFonts w:hint="eastAsia" w:ascii="宋体" w:hAnsi="宋体" w:cs="宋体"/>
          <w:b/>
          <w:color w:val="auto"/>
          <w:sz w:val="21"/>
          <w:szCs w:val="21"/>
          <w:highlight w:val="none"/>
        </w:rPr>
        <w:t>“投标须知前附表”</w:t>
      </w:r>
      <w:r>
        <w:rPr>
          <w:rFonts w:hint="eastAsia" w:ascii="宋体" w:hAnsi="宋体" w:cs="宋体"/>
          <w:color w:val="auto"/>
          <w:sz w:val="21"/>
          <w:szCs w:val="21"/>
          <w:highlight w:val="none"/>
          <w:lang w:eastAsia="zh-TW"/>
        </w:rPr>
        <w:t>中确定</w:t>
      </w:r>
      <w:r>
        <w:rPr>
          <w:rFonts w:hint="eastAsia" w:ascii="宋体" w:hAnsi="宋体" w:cs="宋体"/>
          <w:color w:val="auto"/>
          <w:sz w:val="21"/>
          <w:szCs w:val="21"/>
          <w:highlight w:val="none"/>
        </w:rPr>
        <w:t>。</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评标由评标委员会负责</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评标委员会将首先按照本须知第2</w:t>
      </w:r>
      <w:r>
        <w:rPr>
          <w:rFonts w:hint="eastAsia" w:ascii="宋体" w:hAnsi="宋体" w:cs="宋体"/>
          <w:color w:val="auto"/>
          <w:sz w:val="21"/>
          <w:szCs w:val="21"/>
          <w:highlight w:val="none"/>
        </w:rPr>
        <w:t>4</w:t>
      </w:r>
      <w:r>
        <w:rPr>
          <w:rFonts w:hint="eastAsia" w:ascii="宋体" w:hAnsi="宋体" w:cs="宋体"/>
          <w:color w:val="auto"/>
          <w:sz w:val="21"/>
          <w:szCs w:val="21"/>
          <w:highlight w:val="none"/>
          <w:lang w:eastAsia="zh-TW"/>
        </w:rPr>
        <w:t>条款对投标文件进行初审。对初审合格的投标文件将按照招标文件投标资料表中确定的综合评分法或最低评标价法进行评</w:t>
      </w:r>
      <w:r>
        <w:rPr>
          <w:rFonts w:hint="eastAsia" w:ascii="宋体" w:hAnsi="宋体" w:cs="宋体"/>
          <w:color w:val="auto"/>
          <w:sz w:val="21"/>
          <w:szCs w:val="21"/>
          <w:highlight w:val="none"/>
        </w:rPr>
        <w:t>审</w:t>
      </w:r>
      <w:r>
        <w:rPr>
          <w:rFonts w:hint="eastAsia" w:ascii="宋体" w:hAnsi="宋体" w:cs="宋体"/>
          <w:color w:val="auto"/>
          <w:sz w:val="21"/>
          <w:szCs w:val="21"/>
          <w:highlight w:val="none"/>
          <w:lang w:eastAsia="zh-TW"/>
        </w:rPr>
        <w:t>。</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评标委员会将按照</w:t>
      </w:r>
      <w:r>
        <w:rPr>
          <w:rFonts w:hint="eastAsia" w:ascii="宋体" w:hAnsi="宋体" w:cs="宋体"/>
          <w:b/>
          <w:color w:val="auto"/>
          <w:sz w:val="21"/>
          <w:szCs w:val="21"/>
          <w:highlight w:val="none"/>
        </w:rPr>
        <w:t>“投标须知前附表”</w:t>
      </w:r>
      <w:r>
        <w:rPr>
          <w:rFonts w:hint="eastAsia" w:ascii="宋体" w:hAnsi="宋体" w:cs="宋体"/>
          <w:color w:val="auto"/>
          <w:sz w:val="21"/>
          <w:szCs w:val="21"/>
          <w:highlight w:val="none"/>
          <w:lang w:eastAsia="zh-TW"/>
        </w:rPr>
        <w:t>中确定的评标方法</w:t>
      </w:r>
      <w:r>
        <w:rPr>
          <w:rFonts w:hint="eastAsia" w:ascii="宋体" w:hAnsi="宋体" w:cs="宋体"/>
          <w:color w:val="auto"/>
          <w:sz w:val="21"/>
          <w:szCs w:val="21"/>
          <w:highlight w:val="none"/>
        </w:rPr>
        <w:t>和</w:t>
      </w:r>
      <w:r>
        <w:rPr>
          <w:rFonts w:hint="eastAsia" w:ascii="宋体" w:hAnsi="宋体" w:cs="宋体"/>
          <w:color w:val="auto"/>
          <w:sz w:val="21"/>
          <w:szCs w:val="21"/>
          <w:highlight w:val="none"/>
          <w:lang w:eastAsia="zh-TW"/>
        </w:rPr>
        <w:t>本招标文件</w:t>
      </w:r>
      <w:r>
        <w:rPr>
          <w:rFonts w:hint="eastAsia" w:ascii="宋体" w:hAnsi="宋体" w:cs="宋体"/>
          <w:color w:val="auto"/>
          <w:sz w:val="21"/>
          <w:szCs w:val="21"/>
          <w:highlight w:val="none"/>
        </w:rPr>
        <w:t>“</w:t>
      </w:r>
      <w:r>
        <w:rPr>
          <w:rFonts w:hint="eastAsia" w:ascii="宋体" w:hAnsi="宋体" w:cs="宋体"/>
          <w:b/>
          <w:color w:val="auto"/>
          <w:sz w:val="21"/>
          <w:szCs w:val="21"/>
          <w:highlight w:val="none"/>
          <w:lang w:eastAsia="zh-TW"/>
        </w:rPr>
        <w:t>第</w:t>
      </w:r>
      <w:r>
        <w:rPr>
          <w:rFonts w:hint="eastAsia" w:ascii="宋体" w:hAnsi="宋体" w:cs="宋体"/>
          <w:b/>
          <w:color w:val="auto"/>
          <w:sz w:val="21"/>
          <w:szCs w:val="21"/>
          <w:highlight w:val="none"/>
        </w:rPr>
        <w:t>四</w:t>
      </w:r>
      <w:r>
        <w:rPr>
          <w:rFonts w:hint="eastAsia" w:ascii="宋体" w:hAnsi="宋体" w:cs="宋体"/>
          <w:b/>
          <w:color w:val="auto"/>
          <w:sz w:val="21"/>
          <w:szCs w:val="21"/>
          <w:highlight w:val="none"/>
          <w:lang w:eastAsia="zh-TW"/>
        </w:rPr>
        <w:t>章</w:t>
      </w:r>
      <w:r>
        <w:rPr>
          <w:rFonts w:hint="eastAsia" w:ascii="宋体" w:hAnsi="宋体" w:cs="宋体"/>
          <w:b/>
          <w:color w:val="auto"/>
          <w:sz w:val="21"/>
          <w:szCs w:val="21"/>
          <w:highlight w:val="none"/>
        </w:rPr>
        <w:t xml:space="preserve"> </w:t>
      </w:r>
      <w:r>
        <w:rPr>
          <w:rFonts w:hint="eastAsia" w:ascii="宋体" w:hAnsi="宋体" w:cs="宋体"/>
          <w:b/>
          <w:color w:val="auto"/>
          <w:sz w:val="21"/>
          <w:szCs w:val="21"/>
          <w:highlight w:val="none"/>
          <w:lang w:eastAsia="zh-TW"/>
        </w:rPr>
        <w:t>评分体系与标准</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中规定</w:t>
      </w:r>
      <w:r>
        <w:rPr>
          <w:rFonts w:hint="eastAsia" w:ascii="宋体" w:hAnsi="宋体" w:cs="宋体"/>
          <w:color w:val="auto"/>
          <w:sz w:val="21"/>
          <w:szCs w:val="21"/>
          <w:highlight w:val="none"/>
        </w:rPr>
        <w:t>的评标</w:t>
      </w:r>
      <w:r>
        <w:rPr>
          <w:rFonts w:hint="eastAsia" w:ascii="宋体" w:hAnsi="宋体" w:cs="宋体"/>
          <w:color w:val="auto"/>
          <w:sz w:val="21"/>
          <w:szCs w:val="21"/>
          <w:highlight w:val="none"/>
          <w:lang w:eastAsia="zh-TW"/>
        </w:rPr>
        <w:t>标准进行评标。</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对招标文件中描述有歧</w:t>
      </w:r>
      <w:r>
        <w:rPr>
          <w:rFonts w:hint="eastAsia" w:ascii="宋体" w:hAnsi="宋体" w:cs="宋体"/>
          <w:color w:val="auto"/>
          <w:sz w:val="21"/>
          <w:szCs w:val="21"/>
          <w:highlight w:val="none"/>
        </w:rPr>
        <w:t>义</w:t>
      </w:r>
      <w:r>
        <w:rPr>
          <w:rFonts w:hint="eastAsia" w:ascii="宋体" w:hAnsi="宋体" w:cs="宋体"/>
          <w:color w:val="auto"/>
          <w:sz w:val="21"/>
          <w:szCs w:val="21"/>
          <w:highlight w:val="none"/>
          <w:lang w:eastAsia="zh-TW"/>
        </w:rPr>
        <w:t>或前后不一致的地方，评标委员会有权按法律法规的规定进行评判</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但对同一条款的评判应适用于每个投标人</w:t>
      </w:r>
      <w:r>
        <w:rPr>
          <w:rFonts w:hint="eastAsia" w:ascii="宋体" w:hAnsi="宋体" w:cs="宋体"/>
          <w:color w:val="auto"/>
          <w:sz w:val="21"/>
          <w:szCs w:val="21"/>
          <w:highlight w:val="none"/>
        </w:rPr>
        <w:t>。</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投标文件的初审</w:t>
      </w:r>
    </w:p>
    <w:p>
      <w:pPr>
        <w:numPr>
          <w:ilvl w:val="1"/>
          <w:numId w:val="19"/>
        </w:numPr>
        <w:spacing w:line="360" w:lineRule="auto"/>
        <w:jc w:val="both"/>
        <w:rPr>
          <w:rFonts w:ascii="宋体" w:hAnsi="宋体" w:cs="宋体"/>
          <w:b/>
          <w:bCs/>
          <w:color w:val="auto"/>
          <w:sz w:val="21"/>
          <w:szCs w:val="21"/>
          <w:highlight w:val="none"/>
        </w:rPr>
      </w:pPr>
      <w:r>
        <w:rPr>
          <w:rFonts w:hint="eastAsia" w:ascii="宋体" w:hAnsi="宋体" w:cs="宋体"/>
          <w:color w:val="auto"/>
          <w:sz w:val="21"/>
          <w:szCs w:val="21"/>
          <w:highlight w:val="none"/>
          <w:lang w:eastAsia="zh-TW"/>
        </w:rPr>
        <w:t>评标委员会将审查投标文件是否完整、文件签署是否合格、投标人是否</w:t>
      </w:r>
      <w:r>
        <w:rPr>
          <w:rFonts w:hint="eastAsia" w:ascii="宋体" w:hAnsi="宋体" w:cs="宋体"/>
          <w:color w:val="auto"/>
          <w:sz w:val="21"/>
          <w:szCs w:val="21"/>
          <w:highlight w:val="none"/>
        </w:rPr>
        <w:t>缴纳</w:t>
      </w:r>
      <w:r>
        <w:rPr>
          <w:rFonts w:hint="eastAsia" w:ascii="宋体" w:hAnsi="宋体" w:cs="宋体"/>
          <w:color w:val="auto"/>
          <w:sz w:val="21"/>
          <w:szCs w:val="21"/>
          <w:highlight w:val="none"/>
          <w:lang w:eastAsia="zh-TW"/>
        </w:rPr>
        <w:t>了投标保证金、有无计算</w:t>
      </w:r>
      <w:r>
        <w:rPr>
          <w:rFonts w:hint="eastAsia" w:ascii="宋体" w:hAnsi="宋体" w:cs="宋体"/>
          <w:color w:val="auto"/>
          <w:sz w:val="21"/>
          <w:szCs w:val="21"/>
          <w:highlight w:val="none"/>
        </w:rPr>
        <w:t>上</w:t>
      </w:r>
      <w:r>
        <w:rPr>
          <w:rFonts w:hint="eastAsia" w:ascii="宋体" w:hAnsi="宋体" w:cs="宋体"/>
          <w:color w:val="auto"/>
          <w:sz w:val="21"/>
          <w:szCs w:val="21"/>
          <w:highlight w:val="none"/>
          <w:lang w:eastAsia="zh-TW"/>
        </w:rPr>
        <w:t>的错误等。</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投标文件报价出现前后不一致的，</w:t>
      </w:r>
      <w:r>
        <w:rPr>
          <w:rFonts w:hint="eastAsia" w:ascii="宋体" w:hAnsi="宋体" w:cs="宋体"/>
          <w:color w:val="auto"/>
          <w:sz w:val="21"/>
          <w:szCs w:val="21"/>
          <w:highlight w:val="none"/>
        </w:rPr>
        <w:t>评标委员会</w:t>
      </w:r>
      <w:r>
        <w:rPr>
          <w:rFonts w:hint="eastAsia" w:ascii="宋体" w:hAnsi="宋体" w:cs="宋体"/>
          <w:color w:val="auto"/>
          <w:sz w:val="21"/>
          <w:szCs w:val="21"/>
          <w:highlight w:val="none"/>
          <w:lang w:eastAsia="zh-TW"/>
        </w:rPr>
        <w:t>按照下列规定修正：</w:t>
      </w:r>
    </w:p>
    <w:p>
      <w:pPr>
        <w:numPr>
          <w:ilvl w:val="2"/>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投标文件中开标一览表（报价表）内容与投标文件中相应内容不一致的，以开标一览表（报价表）</w:t>
      </w:r>
    </w:p>
    <w:p>
      <w:pPr>
        <w:spacing w:line="360" w:lineRule="auto"/>
        <w:ind w:left="709" w:firstLine="105" w:firstLineChars="50"/>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为准；</w:t>
      </w:r>
    </w:p>
    <w:p>
      <w:pPr>
        <w:numPr>
          <w:ilvl w:val="2"/>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大写金额和小写金额不一致的，以大写金额为准；</w:t>
      </w:r>
    </w:p>
    <w:p>
      <w:pPr>
        <w:numPr>
          <w:ilvl w:val="2"/>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单价金额小数点或者百分比有明显错位的，以开标一览表的总价为准，并修改单价；</w:t>
      </w:r>
    </w:p>
    <w:p>
      <w:pPr>
        <w:numPr>
          <w:ilvl w:val="2"/>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总价金额与按单价汇总金额不一致的，以单价金额计算结果为准。</w:t>
      </w:r>
    </w:p>
    <w:p>
      <w:pPr>
        <w:spacing w:line="360" w:lineRule="auto"/>
        <w:ind w:left="567"/>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同时出现两种以上不一致的，按照前款规定的顺序修正。</w:t>
      </w:r>
      <w:r>
        <w:rPr>
          <w:rFonts w:hint="eastAsia" w:ascii="宋体" w:hAnsi="宋体" w:cs="宋体"/>
          <w:color w:val="auto"/>
          <w:sz w:val="21"/>
          <w:szCs w:val="21"/>
          <w:highlight w:val="none"/>
        </w:rPr>
        <w:t>评标委员会</w:t>
      </w:r>
      <w:r>
        <w:rPr>
          <w:rFonts w:hint="eastAsia" w:ascii="宋体" w:hAnsi="宋体" w:cs="宋体"/>
          <w:color w:val="auto"/>
          <w:sz w:val="21"/>
          <w:szCs w:val="21"/>
          <w:highlight w:val="none"/>
          <w:lang w:eastAsia="zh-TW"/>
        </w:rPr>
        <w:t>按上述修正误差的原则调整的价格对</w:t>
      </w:r>
      <w:r>
        <w:rPr>
          <w:rFonts w:hint="eastAsia" w:ascii="宋体" w:hAnsi="宋体" w:cs="宋体"/>
          <w:color w:val="auto"/>
          <w:sz w:val="21"/>
          <w:szCs w:val="21"/>
          <w:highlight w:val="none"/>
        </w:rPr>
        <w:t>投标人</w:t>
      </w:r>
      <w:r>
        <w:rPr>
          <w:rFonts w:hint="eastAsia" w:ascii="宋体" w:hAnsi="宋体" w:cs="宋体"/>
          <w:color w:val="auto"/>
          <w:sz w:val="21"/>
          <w:szCs w:val="21"/>
          <w:highlight w:val="none"/>
          <w:lang w:eastAsia="zh-TW"/>
        </w:rPr>
        <w:t>具有约束力</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投标人不确认的，其投标无效。</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lang w:eastAsia="zh-TW"/>
        </w:rPr>
        <w:t>评标委员会认为投标人的报价明显低于其他通过</w:t>
      </w:r>
      <w:r>
        <w:rPr>
          <w:rFonts w:hint="eastAsia" w:ascii="宋体" w:hAnsi="宋体" w:cs="宋体"/>
          <w:color w:val="auto"/>
          <w:sz w:val="21"/>
          <w:szCs w:val="21"/>
          <w:highlight w:val="none"/>
        </w:rPr>
        <w:t>资格、</w:t>
      </w:r>
      <w:r>
        <w:rPr>
          <w:rFonts w:hint="eastAsia" w:ascii="宋体" w:hAnsi="宋体" w:cs="宋体"/>
          <w:color w:val="auto"/>
          <w:sz w:val="21"/>
          <w:szCs w:val="21"/>
          <w:highlight w:val="none"/>
          <w:lang w:eastAsia="zh-TW"/>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auto"/>
          <w:sz w:val="21"/>
          <w:szCs w:val="21"/>
          <w:highlight w:val="none"/>
        </w:rPr>
        <w:t>。</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lang w:eastAsia="zh-TW"/>
        </w:rPr>
        <w:t>在详细评标之前</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评标委员会要审查每份投标文件是否实质上响应了招标文件的要求。实质上</w:t>
      </w:r>
      <w:r>
        <w:rPr>
          <w:rFonts w:hint="eastAsia" w:ascii="宋体" w:hAnsi="宋体" w:cs="宋体"/>
          <w:color w:val="auto"/>
          <w:sz w:val="21"/>
          <w:szCs w:val="21"/>
          <w:highlight w:val="none"/>
        </w:rPr>
        <w:t>响</w:t>
      </w:r>
      <w:r>
        <w:rPr>
          <w:rFonts w:hint="eastAsia" w:ascii="宋体" w:hAnsi="宋体" w:cs="宋体"/>
          <w:color w:val="auto"/>
          <w:sz w:val="21"/>
          <w:szCs w:val="21"/>
          <w:highlight w:val="none"/>
          <w:lang w:eastAsia="zh-TW"/>
        </w:rPr>
        <w:t>应的投标</w:t>
      </w:r>
      <w:r>
        <w:rPr>
          <w:rFonts w:hint="eastAsia" w:ascii="宋体" w:hAnsi="宋体" w:cs="宋体"/>
          <w:color w:val="auto"/>
          <w:sz w:val="21"/>
          <w:szCs w:val="21"/>
          <w:highlight w:val="none"/>
        </w:rPr>
        <w:t>文件</w:t>
      </w:r>
      <w:r>
        <w:rPr>
          <w:rFonts w:hint="eastAsia" w:ascii="宋体" w:hAnsi="宋体" w:cs="宋体"/>
          <w:color w:val="auto"/>
          <w:sz w:val="21"/>
          <w:szCs w:val="21"/>
          <w:highlight w:val="none"/>
          <w:lang w:eastAsia="zh-TW"/>
        </w:rPr>
        <w:t>应该是与招标文件要求的关键条款</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条件和规格相符</w:t>
      </w:r>
      <w:r>
        <w:rPr>
          <w:rFonts w:hint="eastAsia" w:ascii="宋体" w:hAnsi="宋体" w:cs="宋体"/>
          <w:color w:val="auto"/>
          <w:sz w:val="21"/>
          <w:szCs w:val="21"/>
          <w:highlight w:val="none"/>
        </w:rPr>
        <w:t>或优于，</w:t>
      </w:r>
      <w:r>
        <w:rPr>
          <w:rFonts w:hint="eastAsia" w:ascii="宋体" w:hAnsi="宋体" w:cs="宋体"/>
          <w:color w:val="auto"/>
          <w:sz w:val="21"/>
          <w:szCs w:val="21"/>
          <w:highlight w:val="none"/>
          <w:lang w:eastAsia="zh-TW"/>
        </w:rPr>
        <w:t>没有</w:t>
      </w:r>
      <w:r>
        <w:rPr>
          <w:rFonts w:hint="eastAsia" w:ascii="宋体" w:hAnsi="宋体" w:cs="宋体"/>
          <w:color w:val="auto"/>
          <w:sz w:val="21"/>
          <w:szCs w:val="21"/>
          <w:highlight w:val="none"/>
        </w:rPr>
        <w:t>实质</w:t>
      </w:r>
      <w:r>
        <w:rPr>
          <w:rFonts w:hint="eastAsia" w:ascii="宋体" w:hAnsi="宋体" w:cs="宋体"/>
          <w:color w:val="auto"/>
          <w:sz w:val="21"/>
          <w:szCs w:val="21"/>
          <w:highlight w:val="none"/>
          <w:lang w:eastAsia="zh-TW"/>
        </w:rPr>
        <w:t>偏离的投标</w:t>
      </w:r>
      <w:r>
        <w:rPr>
          <w:rFonts w:hint="eastAsia" w:ascii="宋体" w:hAnsi="宋体" w:cs="宋体"/>
          <w:color w:val="auto"/>
          <w:sz w:val="21"/>
          <w:szCs w:val="21"/>
          <w:highlight w:val="none"/>
        </w:rPr>
        <w:t>文件</w:t>
      </w:r>
      <w:r>
        <w:rPr>
          <w:rFonts w:hint="eastAsia" w:ascii="宋体" w:hAnsi="宋体" w:cs="宋体"/>
          <w:color w:val="auto"/>
          <w:sz w:val="21"/>
          <w:szCs w:val="21"/>
          <w:highlight w:val="none"/>
          <w:lang w:eastAsia="zh-TW"/>
        </w:rPr>
        <w:t>。评标委员会决定投标的响应性只根据投标</w:t>
      </w:r>
      <w:r>
        <w:rPr>
          <w:rFonts w:hint="eastAsia" w:ascii="宋体" w:hAnsi="宋体" w:cs="宋体"/>
          <w:color w:val="auto"/>
          <w:sz w:val="21"/>
          <w:szCs w:val="21"/>
          <w:highlight w:val="none"/>
        </w:rPr>
        <w:t>文件</w:t>
      </w:r>
      <w:r>
        <w:rPr>
          <w:rFonts w:hint="eastAsia" w:ascii="宋体" w:hAnsi="宋体" w:cs="宋体"/>
          <w:color w:val="auto"/>
          <w:sz w:val="21"/>
          <w:szCs w:val="21"/>
          <w:highlight w:val="none"/>
          <w:lang w:eastAsia="zh-TW"/>
        </w:rPr>
        <w:t>本身的真实无误的内容</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而不依据外部的证据</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但投标有不真实的内容时除外。</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lang w:eastAsia="zh-TW"/>
        </w:rPr>
        <w:t>实质上没有响应招标文件要求的投标将</w:t>
      </w:r>
      <w:r>
        <w:rPr>
          <w:rFonts w:hint="eastAsia" w:ascii="宋体" w:hAnsi="宋体" w:cs="宋体"/>
          <w:color w:val="auto"/>
          <w:sz w:val="21"/>
          <w:szCs w:val="21"/>
          <w:highlight w:val="none"/>
        </w:rPr>
        <w:t>被否决</w:t>
      </w:r>
      <w:r>
        <w:rPr>
          <w:rFonts w:hint="eastAsia" w:ascii="宋体" w:hAnsi="宋体" w:cs="宋体"/>
          <w:color w:val="auto"/>
          <w:sz w:val="21"/>
          <w:szCs w:val="21"/>
          <w:highlight w:val="none"/>
          <w:lang w:eastAsia="zh-TW"/>
        </w:rPr>
        <w:t>。投标人不得通过修正</w:t>
      </w:r>
      <w:r>
        <w:rPr>
          <w:rFonts w:hint="eastAsia" w:ascii="宋体" w:hAnsi="宋体" w:cs="宋体"/>
          <w:color w:val="auto"/>
          <w:sz w:val="21"/>
          <w:szCs w:val="21"/>
          <w:highlight w:val="none"/>
        </w:rPr>
        <w:t>、补充</w:t>
      </w:r>
      <w:r>
        <w:rPr>
          <w:rFonts w:hint="eastAsia" w:ascii="宋体" w:hAnsi="宋体" w:cs="宋体"/>
          <w:color w:val="auto"/>
          <w:sz w:val="21"/>
          <w:szCs w:val="21"/>
          <w:highlight w:val="none"/>
          <w:lang w:eastAsia="zh-TW"/>
        </w:rPr>
        <w:t>或撤销不合要求的偏离或保留从而使其投标成为实质上响应的投标。</w:t>
      </w:r>
    </w:p>
    <w:p>
      <w:pPr>
        <w:numPr>
          <w:ilvl w:val="2"/>
          <w:numId w:val="19"/>
        </w:numPr>
        <w:spacing w:line="360" w:lineRule="auto"/>
        <w:ind w:left="840" w:hanging="840"/>
        <w:jc w:val="both"/>
        <w:rPr>
          <w:rFonts w:ascii="宋体" w:hAnsi="宋体" w:cs="宋体"/>
          <w:color w:val="auto"/>
          <w:sz w:val="21"/>
          <w:szCs w:val="21"/>
          <w:highlight w:val="none"/>
        </w:rPr>
      </w:pPr>
      <w:r>
        <w:rPr>
          <w:rFonts w:hint="eastAsia" w:ascii="宋体" w:hAnsi="宋体" w:cs="宋体"/>
          <w:color w:val="auto"/>
          <w:sz w:val="21"/>
          <w:szCs w:val="21"/>
          <w:highlight w:val="none"/>
          <w:lang w:eastAsia="zh-TW"/>
        </w:rPr>
        <w:t>在资格、符合性检查时，未能通过资格、符合性审查</w:t>
      </w:r>
      <w:r>
        <w:rPr>
          <w:rFonts w:hint="eastAsia" w:ascii="宋体" w:hAnsi="宋体" w:cs="宋体"/>
          <w:color w:val="auto"/>
          <w:sz w:val="21"/>
          <w:szCs w:val="21"/>
          <w:highlight w:val="none"/>
        </w:rPr>
        <w:t>的其投标</w:t>
      </w:r>
      <w:r>
        <w:rPr>
          <w:rFonts w:hint="eastAsia" w:ascii="宋体" w:hAnsi="宋体" w:cs="宋体"/>
          <w:color w:val="auto"/>
          <w:sz w:val="21"/>
          <w:szCs w:val="21"/>
          <w:highlight w:val="none"/>
          <w:lang w:eastAsia="zh-TW"/>
        </w:rPr>
        <w:t>被</w:t>
      </w:r>
      <w:r>
        <w:rPr>
          <w:rFonts w:hint="eastAsia" w:ascii="宋体" w:hAnsi="宋体" w:cs="宋体"/>
          <w:color w:val="auto"/>
          <w:sz w:val="21"/>
          <w:szCs w:val="21"/>
          <w:highlight w:val="none"/>
        </w:rPr>
        <w:t>否决。</w:t>
      </w:r>
      <w:r>
        <w:rPr>
          <w:rFonts w:hint="eastAsia" w:ascii="宋体" w:hAnsi="宋体" w:cs="宋体"/>
          <w:color w:val="auto"/>
          <w:sz w:val="21"/>
          <w:szCs w:val="21"/>
          <w:highlight w:val="none"/>
          <w:lang w:eastAsia="zh-TW"/>
        </w:rPr>
        <w:t>对初步被认定为资格</w:t>
      </w:r>
      <w:r>
        <w:rPr>
          <w:rFonts w:hint="eastAsia" w:ascii="宋体" w:hAnsi="宋体" w:cs="宋体"/>
          <w:color w:val="auto"/>
          <w:sz w:val="21"/>
          <w:szCs w:val="21"/>
          <w:highlight w:val="none"/>
        </w:rPr>
        <w:t>、符合</w:t>
      </w:r>
      <w:r>
        <w:rPr>
          <w:rFonts w:hint="eastAsia" w:ascii="宋体" w:hAnsi="宋体" w:cs="宋体"/>
          <w:color w:val="auto"/>
          <w:sz w:val="21"/>
          <w:szCs w:val="21"/>
          <w:highlight w:val="none"/>
          <w:lang w:eastAsia="zh-TW"/>
        </w:rPr>
        <w:t>性审查不</w:t>
      </w:r>
      <w:r>
        <w:rPr>
          <w:rFonts w:hint="eastAsia" w:ascii="宋体" w:hAnsi="宋体" w:cs="宋体"/>
          <w:color w:val="auto"/>
          <w:sz w:val="21"/>
          <w:szCs w:val="21"/>
          <w:highlight w:val="none"/>
        </w:rPr>
        <w:t>通过</w:t>
      </w:r>
      <w:r>
        <w:rPr>
          <w:rFonts w:hint="eastAsia" w:ascii="宋体" w:hAnsi="宋体" w:cs="宋体"/>
          <w:color w:val="auto"/>
          <w:sz w:val="21"/>
          <w:szCs w:val="21"/>
          <w:highlight w:val="none"/>
          <w:lang w:eastAsia="zh-TW"/>
        </w:rPr>
        <w:t>的，可实行告知投标当事人，以让其核证、澄清事实。未通过资格</w:t>
      </w:r>
      <w:r>
        <w:rPr>
          <w:rFonts w:hint="eastAsia" w:ascii="宋体" w:hAnsi="宋体" w:cs="宋体"/>
          <w:color w:val="auto"/>
          <w:sz w:val="21"/>
          <w:szCs w:val="21"/>
          <w:highlight w:val="none"/>
        </w:rPr>
        <w:t>、符合</w:t>
      </w:r>
      <w:r>
        <w:rPr>
          <w:rFonts w:hint="eastAsia" w:ascii="宋体" w:hAnsi="宋体" w:cs="宋体"/>
          <w:color w:val="auto"/>
          <w:sz w:val="21"/>
          <w:szCs w:val="21"/>
          <w:highlight w:val="none"/>
          <w:lang w:eastAsia="zh-TW"/>
        </w:rPr>
        <w:t>性审查的投标人，不进入</w:t>
      </w:r>
      <w:r>
        <w:rPr>
          <w:rFonts w:hint="eastAsia" w:ascii="宋体" w:hAnsi="宋体" w:cs="宋体"/>
          <w:color w:val="auto"/>
          <w:sz w:val="21"/>
          <w:szCs w:val="21"/>
          <w:highlight w:val="none"/>
        </w:rPr>
        <w:t>技术、商务、价格评审</w:t>
      </w:r>
      <w:r>
        <w:rPr>
          <w:rFonts w:hint="eastAsia" w:ascii="宋体" w:hAnsi="宋体" w:cs="宋体"/>
          <w:color w:val="auto"/>
          <w:sz w:val="21"/>
          <w:szCs w:val="21"/>
          <w:highlight w:val="none"/>
          <w:lang w:eastAsia="zh-TW"/>
        </w:rPr>
        <w:t>。对投标有效性认定意见不一致的，评标委员会按</w:t>
      </w:r>
      <w:r>
        <w:rPr>
          <w:rFonts w:hint="eastAsia" w:ascii="宋体" w:hAnsi="宋体" w:cs="宋体"/>
          <w:color w:val="auto"/>
          <w:sz w:val="21"/>
          <w:szCs w:val="21"/>
          <w:highlight w:val="none"/>
        </w:rPr>
        <w:t>少数服从多数的</w:t>
      </w:r>
      <w:r>
        <w:rPr>
          <w:rFonts w:hint="eastAsia" w:ascii="宋体" w:hAnsi="宋体" w:cs="宋体"/>
          <w:color w:val="auto"/>
          <w:sz w:val="21"/>
          <w:szCs w:val="21"/>
          <w:highlight w:val="none"/>
          <w:lang w:eastAsia="zh-TW"/>
        </w:rPr>
        <w:t>原则</w:t>
      </w:r>
      <w:r>
        <w:rPr>
          <w:rFonts w:hint="eastAsia" w:ascii="宋体" w:hAnsi="宋体" w:cs="宋体"/>
          <w:color w:val="auto"/>
          <w:sz w:val="21"/>
          <w:szCs w:val="21"/>
          <w:highlight w:val="none"/>
        </w:rPr>
        <w:t>做出结论</w:t>
      </w:r>
      <w:r>
        <w:rPr>
          <w:rFonts w:hint="eastAsia" w:ascii="宋体" w:hAnsi="宋体" w:cs="宋体"/>
          <w:color w:val="auto"/>
          <w:sz w:val="21"/>
          <w:szCs w:val="21"/>
          <w:highlight w:val="none"/>
          <w:lang w:eastAsia="zh-TW"/>
        </w:rPr>
        <w:t>。具体条款</w:t>
      </w:r>
      <w:r>
        <w:rPr>
          <w:rFonts w:hint="eastAsia" w:ascii="宋体" w:hAnsi="宋体" w:cs="宋体"/>
          <w:color w:val="auto"/>
          <w:sz w:val="21"/>
          <w:szCs w:val="21"/>
          <w:highlight w:val="none"/>
        </w:rPr>
        <w:t>详</w:t>
      </w:r>
      <w:r>
        <w:rPr>
          <w:rFonts w:hint="eastAsia" w:ascii="宋体" w:hAnsi="宋体" w:cs="宋体"/>
          <w:color w:val="auto"/>
          <w:sz w:val="21"/>
          <w:szCs w:val="21"/>
          <w:highlight w:val="none"/>
          <w:lang w:eastAsia="zh-TW"/>
        </w:rPr>
        <w:t>见招标文件</w:t>
      </w:r>
      <w:r>
        <w:rPr>
          <w:rFonts w:hint="eastAsia" w:ascii="宋体" w:hAnsi="宋体" w:cs="宋体"/>
          <w:color w:val="auto"/>
          <w:sz w:val="21"/>
          <w:szCs w:val="21"/>
          <w:highlight w:val="none"/>
        </w:rPr>
        <w:t>“第四章 评分体系与标准”</w:t>
      </w:r>
      <w:r>
        <w:rPr>
          <w:rFonts w:hint="eastAsia" w:ascii="宋体" w:hAnsi="宋体" w:cs="宋体"/>
          <w:color w:val="auto"/>
          <w:sz w:val="21"/>
          <w:szCs w:val="21"/>
          <w:highlight w:val="none"/>
          <w:lang w:eastAsia="zh-TW"/>
        </w:rPr>
        <w:t>《资格、符合性评审条款》。</w:t>
      </w:r>
      <w:r>
        <w:rPr>
          <w:rFonts w:hint="eastAsia" w:ascii="宋体" w:hAnsi="宋体" w:cs="宋体"/>
          <w:color w:val="auto"/>
          <w:sz w:val="21"/>
          <w:szCs w:val="21"/>
          <w:highlight w:val="none"/>
        </w:rPr>
        <w:t xml:space="preserve">  </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通过资格、符合性审查的投标人少于3个时，不再继续技术、商务评审，本项目招标失败。</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投标文件的澄清</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Pr>
          <w:rFonts w:hint="eastAsia" w:ascii="宋体" w:hAnsi="宋体" w:cs="宋体"/>
          <w:color w:val="auto"/>
          <w:sz w:val="21"/>
          <w:szCs w:val="21"/>
          <w:highlight w:val="none"/>
          <w:lang w:eastAsia="zh-TW"/>
        </w:rPr>
        <w:t>投标人的澄清</w:t>
      </w:r>
      <w:r>
        <w:rPr>
          <w:rFonts w:hint="eastAsia" w:ascii="宋体" w:hAnsi="宋体" w:cs="宋体"/>
          <w:color w:val="auto"/>
          <w:sz w:val="21"/>
          <w:szCs w:val="21"/>
          <w:highlight w:val="none"/>
        </w:rPr>
        <w:t>或</w:t>
      </w:r>
      <w:r>
        <w:rPr>
          <w:rFonts w:hint="eastAsia" w:ascii="宋体" w:hAnsi="宋体" w:cs="宋体"/>
          <w:color w:val="auto"/>
          <w:sz w:val="21"/>
          <w:szCs w:val="21"/>
          <w:highlight w:val="none"/>
          <w:lang w:eastAsia="zh-TW"/>
        </w:rPr>
        <w:t>说明</w:t>
      </w:r>
      <w:r>
        <w:rPr>
          <w:rFonts w:hint="eastAsia" w:ascii="宋体" w:hAnsi="宋体" w:cs="宋体"/>
          <w:color w:val="auto"/>
          <w:sz w:val="21"/>
          <w:szCs w:val="21"/>
          <w:highlight w:val="none"/>
        </w:rPr>
        <w:t>答复应加盖公章或</w:t>
      </w:r>
      <w:r>
        <w:rPr>
          <w:rFonts w:hint="eastAsia" w:ascii="宋体" w:hAnsi="宋体" w:cs="宋体"/>
          <w:color w:val="auto"/>
          <w:sz w:val="21"/>
          <w:szCs w:val="21"/>
          <w:highlight w:val="none"/>
          <w:lang w:eastAsia="zh-TW"/>
        </w:rPr>
        <w:t>由投标人的法定代表人或其授权的代表签字</w:t>
      </w:r>
      <w:r>
        <w:rPr>
          <w:rFonts w:hint="eastAsia" w:ascii="宋体" w:hAnsi="宋体" w:cs="宋体"/>
          <w:color w:val="auto"/>
          <w:sz w:val="21"/>
          <w:szCs w:val="21"/>
          <w:highlight w:val="none"/>
        </w:rPr>
        <w:t>或盖章。</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投标人的澄清</w:t>
      </w:r>
      <w:r>
        <w:rPr>
          <w:rFonts w:hint="eastAsia" w:ascii="宋体" w:hAnsi="宋体" w:cs="宋体"/>
          <w:color w:val="auto"/>
          <w:sz w:val="21"/>
          <w:szCs w:val="21"/>
          <w:highlight w:val="none"/>
        </w:rPr>
        <w:t>或说明答复</w:t>
      </w:r>
      <w:r>
        <w:rPr>
          <w:rFonts w:hint="eastAsia" w:ascii="宋体" w:hAnsi="宋体" w:cs="宋体"/>
          <w:color w:val="auto"/>
          <w:sz w:val="21"/>
          <w:szCs w:val="21"/>
          <w:highlight w:val="none"/>
          <w:lang w:eastAsia="zh-TW"/>
        </w:rPr>
        <w:t>文件是其投标文件的组成部分。</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投标文件详细评价</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评标委员会按照招标文件确定的评标方法、步骤、标准对通过资格、符合性审查的投标文件进行详细评价和比较</w:t>
      </w:r>
      <w:r>
        <w:rPr>
          <w:rFonts w:hint="eastAsia" w:ascii="宋体" w:hAnsi="宋体" w:cs="宋体"/>
          <w:color w:val="auto"/>
          <w:sz w:val="21"/>
          <w:szCs w:val="21"/>
          <w:highlight w:val="none"/>
        </w:rPr>
        <w:t>，并出具书面评标报告。</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中标候选人的推荐方法</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采用综合评分法的，按评审后综合得分由高到低顺序排列，综合得分相同的，按下列顺序比较确定：（1）投标总报价由低到高；（2）技术得分由高到低；（3）以少数服从多数为原则，由评标委员会投票确定。</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采用最低评标价法的，按投标报价（经价格核准后的价格）由低到高顺序排列。投标报价相同的，以少数服从多数为原则，由评标委员会投票确定。</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除</w:t>
      </w:r>
      <w:r>
        <w:rPr>
          <w:rFonts w:hint="eastAsia" w:ascii="宋体" w:hAnsi="宋体" w:cs="宋体"/>
          <w:b/>
          <w:color w:val="auto"/>
          <w:sz w:val="21"/>
          <w:szCs w:val="21"/>
          <w:highlight w:val="none"/>
        </w:rPr>
        <w:t>“投标须知前附表”</w:t>
      </w:r>
      <w:r>
        <w:rPr>
          <w:rFonts w:hint="eastAsia" w:ascii="宋体" w:hAnsi="宋体" w:cs="宋体"/>
          <w:color w:val="auto"/>
          <w:sz w:val="21"/>
          <w:szCs w:val="21"/>
          <w:highlight w:val="none"/>
        </w:rPr>
        <w:t>另有规定的，采用综合评分法的推荐综合得分排名第一的投标人为第一中标候选人，排名第二的投标人为第二中标候选人，排名第三的投标人为第三中标候选人。采用最低评标价法的，投标文件满足招标文件全部实质性要求且投标报价最低的投标人为第一的中标候选人，投标报价次低的投标人为第二的中标候选人，投标报价第三低的投标人为第三的中标候选人。</w:t>
      </w:r>
    </w:p>
    <w:p>
      <w:pPr>
        <w:numPr>
          <w:ilvl w:val="1"/>
          <w:numId w:val="19"/>
        </w:numPr>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中标人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也可以重新招标。</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评标结果公示与中标通知书</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评标结果经招标人确定后，招标代理机构将在发布本项目招标公告媒体上进行评标结果公示，公示期为3日。</w:t>
      </w:r>
    </w:p>
    <w:p>
      <w:pPr>
        <w:numPr>
          <w:ilvl w:val="1"/>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评标结果公示无异议的，招标代理机构向其发出中标通知书，同时将中标结果通知所有未中标的投标人。</w:t>
      </w:r>
    </w:p>
    <w:p>
      <w:pPr>
        <w:pStyle w:val="4"/>
        <w:jc w:val="center"/>
        <w:rPr>
          <w:rFonts w:ascii="宋体" w:hAnsi="宋体" w:cs="宋体"/>
          <w:color w:val="auto"/>
          <w:highlight w:val="none"/>
        </w:rPr>
      </w:pPr>
      <w:r>
        <w:rPr>
          <w:rFonts w:hint="eastAsia" w:ascii="宋体" w:hAnsi="宋体" w:cs="宋体"/>
          <w:color w:val="auto"/>
          <w:highlight w:val="none"/>
        </w:rPr>
        <w:t>六、异议及投诉</w:t>
      </w:r>
    </w:p>
    <w:p>
      <w:pPr>
        <w:numPr>
          <w:ilvl w:val="0"/>
          <w:numId w:val="19"/>
        </w:numPr>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异议及投诉</w:t>
      </w:r>
    </w:p>
    <w:p>
      <w:pPr>
        <w:numPr>
          <w:ilvl w:val="1"/>
          <w:numId w:val="19"/>
        </w:numPr>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异议的提出与答复</w:t>
      </w:r>
    </w:p>
    <w:p>
      <w:pPr>
        <w:numPr>
          <w:ilvl w:val="2"/>
          <w:numId w:val="19"/>
        </w:numPr>
        <w:spacing w:line="360" w:lineRule="auto"/>
        <w:ind w:left="840" w:hanging="840"/>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潜在投标人或其他利害关系人对招标文件有异议的，应当在规定时间内向招标代理机构提出，逾期异议无效。</w:t>
      </w:r>
    </w:p>
    <w:p>
      <w:pPr>
        <w:numPr>
          <w:ilvl w:val="2"/>
          <w:numId w:val="19"/>
        </w:numPr>
        <w:spacing w:line="360" w:lineRule="auto"/>
        <w:ind w:left="840" w:hanging="840"/>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投标人对开标异议的，应当在开标现场提出，招标人或招标代理机构应当当场作出答复，并制作记录。</w:t>
      </w:r>
    </w:p>
    <w:p>
      <w:pPr>
        <w:numPr>
          <w:ilvl w:val="2"/>
          <w:numId w:val="19"/>
        </w:numPr>
        <w:spacing w:line="360" w:lineRule="auto"/>
        <w:ind w:left="840" w:hanging="840"/>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投标人对评标结果有异议的，应当在公示期间以书面形式（加盖投标人公章）向招标代理机构提交异议函原件，逾期异议无效。</w:t>
      </w:r>
    </w:p>
    <w:p>
      <w:pPr>
        <w:numPr>
          <w:ilvl w:val="2"/>
          <w:numId w:val="19"/>
        </w:numPr>
        <w:spacing w:line="360" w:lineRule="auto"/>
        <w:ind w:left="840" w:hanging="840"/>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以联合体形式参加</w:t>
      </w:r>
      <w:r>
        <w:rPr>
          <w:rFonts w:hint="eastAsia" w:ascii="宋体" w:hAnsi="宋体" w:cs="宋体"/>
          <w:color w:val="auto"/>
          <w:sz w:val="21"/>
          <w:szCs w:val="21"/>
          <w:highlight w:val="none"/>
        </w:rPr>
        <w:t>招标</w:t>
      </w:r>
      <w:r>
        <w:rPr>
          <w:rFonts w:hint="eastAsia" w:ascii="宋体" w:hAnsi="宋体" w:cs="宋体"/>
          <w:color w:val="auto"/>
          <w:sz w:val="21"/>
          <w:szCs w:val="21"/>
          <w:highlight w:val="none"/>
          <w:lang w:eastAsia="zh-TW"/>
        </w:rPr>
        <w:t>活动的，其异议应当由组成联合体的所有</w:t>
      </w:r>
      <w:r>
        <w:rPr>
          <w:rFonts w:hint="eastAsia" w:ascii="宋体" w:hAnsi="宋体" w:cs="宋体"/>
          <w:color w:val="auto"/>
          <w:sz w:val="21"/>
          <w:szCs w:val="21"/>
          <w:highlight w:val="none"/>
        </w:rPr>
        <w:t>投标人</w:t>
      </w:r>
      <w:r>
        <w:rPr>
          <w:rFonts w:hint="eastAsia" w:ascii="宋体" w:hAnsi="宋体" w:cs="宋体"/>
          <w:color w:val="auto"/>
          <w:sz w:val="21"/>
          <w:szCs w:val="21"/>
          <w:highlight w:val="none"/>
          <w:lang w:eastAsia="zh-TW"/>
        </w:rPr>
        <w:t>共同提出。</w:t>
      </w:r>
    </w:p>
    <w:p>
      <w:pPr>
        <w:numPr>
          <w:ilvl w:val="2"/>
          <w:numId w:val="19"/>
        </w:numPr>
        <w:spacing w:line="360" w:lineRule="auto"/>
        <w:ind w:left="840" w:hanging="840"/>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提交异议应以书面形式（加盖投标人公章）向招标人及招标代理机构提出异议，异议内容不得含有虚假、恶意成分。依据谁主张谁举证的原则，异议者提供的异议书应当包括下列主要内容：具体的异议事项、法律依据、事实依据及相关确凿的证明材料、明确的请求、异议项目名称、编号、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不接受投标人以电话、传真或电邮形式提交的异议。</w:t>
      </w:r>
    </w:p>
    <w:p>
      <w:pPr>
        <w:numPr>
          <w:ilvl w:val="2"/>
          <w:numId w:val="19"/>
        </w:numPr>
        <w:spacing w:line="360" w:lineRule="auto"/>
        <w:ind w:left="840" w:hanging="840"/>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投标人异议应当有明确的请求和必要的证明材料，捏造事实、提供虚假材料或者以非法手段取得证明材料不能作为异议的证明材料。</w:t>
      </w:r>
    </w:p>
    <w:p>
      <w:pPr>
        <w:numPr>
          <w:ilvl w:val="2"/>
          <w:numId w:val="19"/>
        </w:numPr>
        <w:spacing w:line="360" w:lineRule="auto"/>
        <w:ind w:left="840" w:hanging="840"/>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投标人异议须提供相关证明材料，包括但不限于权益受损害的情况说明及受损害的原因、证据内容等，并对异议内容的真实性承担责任。</w:t>
      </w:r>
    </w:p>
    <w:p>
      <w:pPr>
        <w:numPr>
          <w:ilvl w:val="2"/>
          <w:numId w:val="19"/>
        </w:numPr>
        <w:spacing w:line="360" w:lineRule="auto"/>
        <w:ind w:left="840" w:hanging="840"/>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招标人及招标代理机构应当在收到书面异议之日起3日内作出答复，但答复的内容不得涉及其他投标人的商业秘密。</w:t>
      </w:r>
    </w:p>
    <w:p>
      <w:pPr>
        <w:numPr>
          <w:ilvl w:val="2"/>
          <w:numId w:val="19"/>
        </w:numPr>
        <w:spacing w:line="360" w:lineRule="auto"/>
        <w:ind w:left="840" w:hanging="840"/>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投标人提出的异议涉及评审过程或者结果的，招标人及招标代理机构可以组织原评审委员会协助处理异议事项，并可依据评审委员会出具的意见进行答复。</w:t>
      </w:r>
    </w:p>
    <w:p>
      <w:pPr>
        <w:numPr>
          <w:ilvl w:val="1"/>
          <w:numId w:val="19"/>
        </w:numPr>
        <w:spacing w:line="360" w:lineRule="auto"/>
        <w:jc w:val="both"/>
        <w:rPr>
          <w:rFonts w:ascii="宋体" w:hAnsi="宋体" w:cs="宋体"/>
          <w:color w:val="auto"/>
          <w:sz w:val="21"/>
          <w:szCs w:val="21"/>
          <w:highlight w:val="none"/>
        </w:rPr>
      </w:pPr>
      <w:bookmarkStart w:id="8" w:name="_Toc62672990"/>
      <w:bookmarkStart w:id="9" w:name="_Toc62671165"/>
      <w:r>
        <w:rPr>
          <w:rFonts w:hint="eastAsia" w:ascii="宋体" w:hAnsi="宋体" w:cs="宋体"/>
          <w:b/>
          <w:color w:val="auto"/>
          <w:sz w:val="21"/>
          <w:szCs w:val="21"/>
          <w:highlight w:val="none"/>
        </w:rPr>
        <w:t>投诉</w:t>
      </w:r>
      <w:bookmarkEnd w:id="8"/>
      <w:bookmarkEnd w:id="9"/>
    </w:p>
    <w:p>
      <w:pPr>
        <w:numPr>
          <w:ilvl w:val="2"/>
          <w:numId w:val="19"/>
        </w:numPr>
        <w:spacing w:line="360" w:lineRule="auto"/>
        <w:ind w:left="840" w:hanging="840"/>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投标人或者其他利害关系人认为招标投标活动不符合法律、行政法规规定的，可以自知道或者应当知道之日起10日内向有关行政监督部门投诉。 投诉应当有明确的请求和必要的证明材料。</w:t>
      </w:r>
    </w:p>
    <w:p>
      <w:pPr>
        <w:numPr>
          <w:ilvl w:val="2"/>
          <w:numId w:val="19"/>
        </w:numPr>
        <w:spacing w:line="360" w:lineRule="auto"/>
        <w:ind w:left="840" w:hanging="840"/>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下列情形投诉将不予受理：</w:t>
      </w:r>
    </w:p>
    <w:p>
      <w:pPr>
        <w:widowControl/>
        <w:numPr>
          <w:ilvl w:val="0"/>
          <w:numId w:val="21"/>
        </w:numPr>
        <w:tabs>
          <w:tab w:val="left" w:pos="567"/>
          <w:tab w:val="left" w:pos="1272"/>
          <w:tab w:val="clear" w:pos="1200"/>
        </w:tabs>
        <w:autoSpaceDE/>
        <w:autoSpaceDN/>
        <w:adjustRightInd/>
        <w:spacing w:line="360" w:lineRule="auto"/>
        <w:ind w:left="0" w:firstLine="0"/>
        <w:jc w:val="both"/>
        <w:rPr>
          <w:rFonts w:ascii="宋体" w:hAnsi="宋体" w:cs="宋体"/>
          <w:color w:val="auto"/>
          <w:sz w:val="21"/>
          <w:szCs w:val="21"/>
          <w:highlight w:val="none"/>
        </w:rPr>
      </w:pPr>
      <w:r>
        <w:rPr>
          <w:rFonts w:hint="eastAsia" w:ascii="宋体" w:hAnsi="宋体" w:cs="宋体"/>
          <w:color w:val="auto"/>
          <w:sz w:val="21"/>
          <w:szCs w:val="21"/>
          <w:highlight w:val="none"/>
        </w:rPr>
        <w:t>投诉人不是参加所投诉项目招标活动的当事人；</w:t>
      </w:r>
    </w:p>
    <w:p>
      <w:pPr>
        <w:widowControl/>
        <w:numPr>
          <w:ilvl w:val="0"/>
          <w:numId w:val="21"/>
        </w:numPr>
        <w:tabs>
          <w:tab w:val="left" w:pos="567"/>
          <w:tab w:val="left" w:pos="1272"/>
          <w:tab w:val="clear" w:pos="1200"/>
        </w:tabs>
        <w:autoSpaceDE/>
        <w:autoSpaceDN/>
        <w:adjustRightInd/>
        <w:spacing w:line="360" w:lineRule="auto"/>
        <w:ind w:left="0" w:firstLine="0"/>
        <w:jc w:val="both"/>
        <w:rPr>
          <w:rFonts w:ascii="宋体" w:hAnsi="宋体" w:cs="宋体"/>
          <w:color w:val="auto"/>
          <w:sz w:val="21"/>
          <w:szCs w:val="21"/>
          <w:highlight w:val="none"/>
        </w:rPr>
      </w:pPr>
      <w:r>
        <w:rPr>
          <w:rFonts w:hint="eastAsia" w:ascii="宋体" w:hAnsi="宋体" w:cs="宋体"/>
          <w:color w:val="auto"/>
          <w:sz w:val="21"/>
          <w:szCs w:val="21"/>
          <w:highlight w:val="none"/>
        </w:rPr>
        <w:t>被投诉人为招标人或招标代理机构之外的当事人；</w:t>
      </w:r>
    </w:p>
    <w:p>
      <w:pPr>
        <w:widowControl/>
        <w:numPr>
          <w:ilvl w:val="0"/>
          <w:numId w:val="21"/>
        </w:numPr>
        <w:tabs>
          <w:tab w:val="left" w:pos="567"/>
          <w:tab w:val="left" w:pos="1272"/>
          <w:tab w:val="clear" w:pos="1200"/>
        </w:tabs>
        <w:autoSpaceDE/>
        <w:autoSpaceDN/>
        <w:adjustRightInd/>
        <w:spacing w:line="360" w:lineRule="auto"/>
        <w:ind w:left="0" w:firstLine="0"/>
        <w:jc w:val="both"/>
        <w:rPr>
          <w:rFonts w:ascii="宋体" w:hAnsi="宋体" w:cs="宋体"/>
          <w:color w:val="auto"/>
          <w:sz w:val="21"/>
          <w:szCs w:val="21"/>
          <w:highlight w:val="none"/>
        </w:rPr>
      </w:pPr>
      <w:r>
        <w:rPr>
          <w:rFonts w:hint="eastAsia" w:ascii="宋体" w:hAnsi="宋体" w:cs="宋体"/>
          <w:color w:val="auto"/>
          <w:sz w:val="21"/>
          <w:szCs w:val="21"/>
          <w:highlight w:val="none"/>
        </w:rPr>
        <w:t>所投诉事项未经过异议的；</w:t>
      </w:r>
    </w:p>
    <w:p>
      <w:pPr>
        <w:widowControl/>
        <w:numPr>
          <w:ilvl w:val="0"/>
          <w:numId w:val="21"/>
        </w:numPr>
        <w:tabs>
          <w:tab w:val="left" w:pos="567"/>
          <w:tab w:val="left" w:pos="1272"/>
          <w:tab w:val="clear" w:pos="1200"/>
        </w:tabs>
        <w:autoSpaceDE/>
        <w:autoSpaceDN/>
        <w:adjustRightInd/>
        <w:spacing w:line="360" w:lineRule="auto"/>
        <w:ind w:left="0" w:firstLine="0"/>
        <w:jc w:val="both"/>
        <w:rPr>
          <w:rFonts w:ascii="宋体" w:hAnsi="宋体" w:cs="宋体"/>
          <w:color w:val="auto"/>
          <w:sz w:val="21"/>
          <w:szCs w:val="21"/>
          <w:highlight w:val="none"/>
        </w:rPr>
      </w:pPr>
      <w:r>
        <w:rPr>
          <w:rFonts w:hint="eastAsia" w:ascii="宋体" w:hAnsi="宋体" w:cs="宋体"/>
          <w:color w:val="auto"/>
          <w:sz w:val="21"/>
          <w:szCs w:val="21"/>
          <w:highlight w:val="none"/>
        </w:rPr>
        <w:t>所有投诉事项超过投诉有效期；</w:t>
      </w:r>
    </w:p>
    <w:p>
      <w:pPr>
        <w:widowControl/>
        <w:numPr>
          <w:ilvl w:val="0"/>
          <w:numId w:val="21"/>
        </w:numPr>
        <w:tabs>
          <w:tab w:val="left" w:pos="567"/>
          <w:tab w:val="left" w:pos="1272"/>
          <w:tab w:val="clear" w:pos="1200"/>
        </w:tabs>
        <w:autoSpaceDE/>
        <w:autoSpaceDN/>
        <w:adjustRightInd/>
        <w:spacing w:line="360" w:lineRule="auto"/>
        <w:ind w:left="0" w:firstLine="0"/>
        <w:jc w:val="both"/>
        <w:rPr>
          <w:rFonts w:ascii="宋体" w:hAnsi="宋体" w:cs="宋体"/>
          <w:color w:val="auto"/>
          <w:sz w:val="21"/>
          <w:szCs w:val="21"/>
          <w:highlight w:val="none"/>
        </w:rPr>
      </w:pPr>
      <w:r>
        <w:rPr>
          <w:rFonts w:hint="eastAsia" w:ascii="宋体" w:hAnsi="宋体" w:cs="宋体"/>
          <w:color w:val="auto"/>
          <w:sz w:val="21"/>
          <w:szCs w:val="21"/>
          <w:highlight w:val="none"/>
        </w:rPr>
        <w:t>以具有法律效力的文书送达之外方式提出的投诉；</w:t>
      </w:r>
    </w:p>
    <w:p>
      <w:pPr>
        <w:widowControl/>
        <w:numPr>
          <w:ilvl w:val="0"/>
          <w:numId w:val="21"/>
        </w:numPr>
        <w:tabs>
          <w:tab w:val="left" w:pos="567"/>
          <w:tab w:val="left" w:pos="1272"/>
          <w:tab w:val="clear" w:pos="1200"/>
        </w:tabs>
        <w:autoSpaceDE/>
        <w:autoSpaceDN/>
        <w:adjustRightInd/>
        <w:spacing w:line="360" w:lineRule="auto"/>
        <w:ind w:left="0" w:firstLine="0"/>
        <w:jc w:val="both"/>
        <w:rPr>
          <w:rFonts w:ascii="宋体" w:hAnsi="宋体" w:cs="宋体"/>
          <w:color w:val="auto"/>
          <w:sz w:val="21"/>
          <w:szCs w:val="21"/>
          <w:highlight w:val="none"/>
        </w:rPr>
      </w:pPr>
      <w:r>
        <w:rPr>
          <w:rFonts w:hint="eastAsia" w:ascii="宋体" w:hAnsi="宋体" w:cs="宋体"/>
          <w:color w:val="auto"/>
          <w:sz w:val="21"/>
          <w:szCs w:val="21"/>
          <w:highlight w:val="none"/>
        </w:rPr>
        <w:t>同一投诉事项已经招标人上级部门投诉处理的；</w:t>
      </w:r>
    </w:p>
    <w:p>
      <w:pPr>
        <w:widowControl/>
        <w:numPr>
          <w:ilvl w:val="0"/>
          <w:numId w:val="21"/>
        </w:numPr>
        <w:tabs>
          <w:tab w:val="left" w:pos="567"/>
          <w:tab w:val="left" w:pos="1272"/>
          <w:tab w:val="clear" w:pos="1200"/>
        </w:tabs>
        <w:autoSpaceDE/>
        <w:autoSpaceDN/>
        <w:adjustRightInd/>
        <w:spacing w:line="360" w:lineRule="auto"/>
        <w:ind w:left="0" w:firstLine="0"/>
        <w:jc w:val="both"/>
        <w:rPr>
          <w:rFonts w:ascii="宋体" w:hAnsi="宋体" w:cs="宋体"/>
          <w:color w:val="auto"/>
          <w:sz w:val="21"/>
          <w:szCs w:val="21"/>
          <w:highlight w:val="none"/>
        </w:rPr>
      </w:pPr>
      <w:r>
        <w:rPr>
          <w:rFonts w:hint="eastAsia" w:ascii="宋体" w:hAnsi="宋体" w:cs="宋体"/>
          <w:color w:val="auto"/>
          <w:sz w:val="21"/>
          <w:szCs w:val="21"/>
          <w:highlight w:val="none"/>
        </w:rPr>
        <w:t>投诉书内容不符合规定，监督管理机构及时告知投诉人限期补充或修改后重新投诉，投诉人逾期不按要求补充或修改投诉书的。</w:t>
      </w:r>
    </w:p>
    <w:p>
      <w:pPr>
        <w:numPr>
          <w:ilvl w:val="2"/>
          <w:numId w:val="19"/>
        </w:numPr>
        <w:spacing w:line="360" w:lineRule="auto"/>
        <w:ind w:left="840" w:hanging="840"/>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投诉人有下列情形之一的，属于虚假、恶意投诉，驳回投诉，将其列入不良行为记录名单，并依法予以处罚：</w:t>
      </w:r>
    </w:p>
    <w:p>
      <w:pPr>
        <w:widowControl/>
        <w:numPr>
          <w:ilvl w:val="0"/>
          <w:numId w:val="22"/>
        </w:numPr>
        <w:tabs>
          <w:tab w:val="left" w:pos="567"/>
          <w:tab w:val="left" w:pos="1272"/>
          <w:tab w:val="clear" w:pos="1920"/>
        </w:tabs>
        <w:autoSpaceDE/>
        <w:autoSpaceDN/>
        <w:adjustRightInd/>
        <w:spacing w:line="360" w:lineRule="auto"/>
        <w:ind w:left="0" w:firstLine="0"/>
        <w:jc w:val="both"/>
        <w:rPr>
          <w:rFonts w:ascii="宋体" w:hAnsi="宋体" w:cs="宋体"/>
          <w:color w:val="auto"/>
          <w:sz w:val="21"/>
          <w:szCs w:val="21"/>
          <w:highlight w:val="none"/>
        </w:rPr>
      </w:pPr>
      <w:r>
        <w:rPr>
          <w:rFonts w:hint="eastAsia" w:ascii="宋体" w:hAnsi="宋体" w:cs="宋体"/>
          <w:color w:val="auto"/>
          <w:sz w:val="21"/>
          <w:szCs w:val="21"/>
          <w:highlight w:val="none"/>
        </w:rPr>
        <w:t>一年内三次以上投诉均查无实据的；</w:t>
      </w:r>
    </w:p>
    <w:p>
      <w:pPr>
        <w:widowControl/>
        <w:numPr>
          <w:ilvl w:val="0"/>
          <w:numId w:val="22"/>
        </w:numPr>
        <w:tabs>
          <w:tab w:val="left" w:pos="567"/>
          <w:tab w:val="left" w:pos="1272"/>
          <w:tab w:val="clear" w:pos="1920"/>
        </w:tabs>
        <w:autoSpaceDE/>
        <w:autoSpaceDN/>
        <w:adjustRightInd/>
        <w:spacing w:line="360" w:lineRule="auto"/>
        <w:ind w:left="0" w:firstLine="0"/>
        <w:jc w:val="both"/>
        <w:rPr>
          <w:rFonts w:ascii="宋体" w:hAnsi="宋体" w:cs="宋体"/>
          <w:color w:val="auto"/>
          <w:sz w:val="21"/>
          <w:szCs w:val="21"/>
          <w:highlight w:val="none"/>
        </w:rPr>
      </w:pPr>
      <w:r>
        <w:rPr>
          <w:rFonts w:hint="eastAsia" w:ascii="宋体" w:hAnsi="宋体" w:cs="宋体"/>
          <w:color w:val="auto"/>
          <w:sz w:val="21"/>
          <w:szCs w:val="21"/>
          <w:highlight w:val="none"/>
        </w:rPr>
        <w:t>捏造事实或者提供虚假投诉材料的。</w:t>
      </w:r>
    </w:p>
    <w:p>
      <w:pPr>
        <w:pStyle w:val="4"/>
        <w:jc w:val="center"/>
        <w:rPr>
          <w:rFonts w:ascii="宋体" w:hAnsi="宋体" w:cs="宋体"/>
          <w:color w:val="auto"/>
          <w:highlight w:val="none"/>
        </w:rPr>
      </w:pPr>
      <w:r>
        <w:rPr>
          <w:rFonts w:hint="eastAsia" w:ascii="宋体" w:hAnsi="宋体" w:cs="宋体"/>
          <w:color w:val="auto"/>
          <w:highlight w:val="none"/>
        </w:rPr>
        <w:t>七、授予合同</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合同的订立</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除非“投标须知前附表”另有规定，招标人和中标人应当自中标通知书发出之日起三十日内，参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履约保证金</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如有要求</w:t>
      </w:r>
      <w:r>
        <w:rPr>
          <w:rFonts w:hint="eastAsia" w:ascii="宋体" w:hAnsi="宋体" w:cs="宋体"/>
          <w:bCs/>
          <w:color w:val="auto"/>
          <w:sz w:val="21"/>
          <w:szCs w:val="21"/>
          <w:highlight w:val="none"/>
          <w:lang w:eastAsia="zh-TW"/>
        </w:rPr>
        <w:t>中标人</w:t>
      </w:r>
      <w:r>
        <w:rPr>
          <w:rFonts w:hint="eastAsia" w:ascii="宋体" w:hAnsi="宋体" w:cs="宋体"/>
          <w:bCs/>
          <w:color w:val="auto"/>
          <w:sz w:val="21"/>
          <w:szCs w:val="21"/>
          <w:highlight w:val="none"/>
        </w:rPr>
        <w:t>提交履约保证金则应按照招标文件规定的金额，采用招标人可以接受的形式向招标人提交履约保证金。</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其他：本项目投标时无须提供纸质投标文件，中标单位在中标候选人公示结束后发出中标通知书前提供与电子标书内容一致的纸质投标文件交于招标代理（投标文件均为一式五份，其中正本一份，须为原件；副本四份，为正本的复印件。正副本封面均须加盖投标人公章并胶装及编写页码，在正副本的封面右上角注明“正本”或“副本”。除招标文件约定外，纸质投标文件须与电子投标文件一致，不一致的以电子投标文件为准）。</w:t>
      </w:r>
    </w:p>
    <w:p>
      <w:pPr>
        <w:numPr>
          <w:ilvl w:val="0"/>
          <w:numId w:val="19"/>
        </w:numPr>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招标代理服务费</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中标人应按照招标文件“投标资料表”中的规定缴纳招标代理服务费。否则，不予退还其投标保证金。</w:t>
      </w:r>
    </w:p>
    <w:p>
      <w:pPr>
        <w:pStyle w:val="4"/>
        <w:jc w:val="center"/>
        <w:rPr>
          <w:rFonts w:ascii="宋体" w:hAnsi="宋体" w:cs="宋体"/>
          <w:color w:val="auto"/>
          <w:highlight w:val="none"/>
        </w:rPr>
      </w:pPr>
      <w:r>
        <w:rPr>
          <w:rFonts w:hint="eastAsia" w:ascii="宋体" w:hAnsi="宋体" w:cs="宋体"/>
          <w:color w:val="auto"/>
          <w:highlight w:val="none"/>
        </w:rPr>
        <w:t>八、其他</w:t>
      </w:r>
    </w:p>
    <w:p>
      <w:pPr>
        <w:numPr>
          <w:ilvl w:val="0"/>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有下列情形之一的，属于投标人相互串通投标：</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投标人之间协商投标报价等投标文件的实质性内容；</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投标人之间约定中标人；</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投标人之间约定部分投标人放弃投标或者中标；</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属于同一集团、协会、商会等组织成员的投标人按照该组织要求协同投标；</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投标人之间为谋取中标或者排斥特定投标人而采取的其他联合行动</w:t>
      </w:r>
    </w:p>
    <w:p>
      <w:pPr>
        <w:numPr>
          <w:ilvl w:val="0"/>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有下列情形之一的，视为投标人串通投标，其投标无效：</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不同投标人的投标文件由同一单位或者个人编制；</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不同投标人委托同一单位或者个人办理投标事宜；</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不同投标人的投标文件载明的项目管理成员或者联系人员为同一人；</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不同投标人的投标文件异常一致或者投标报价呈规律性差异；</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不同投标人的投标保证金从同一单位或者个人的账户转出。</w:t>
      </w:r>
    </w:p>
    <w:p>
      <w:pPr>
        <w:numPr>
          <w:ilvl w:val="0"/>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有下列情形之一的，评标委员会应当否决其投标：</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投标文件未经投标单位盖章和单位负责人签字；</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投标联合体没有提交共同投标协议；</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投标人不符合国家或者招标文件规定的资格条件；</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同一投标人提交两个以上不同的投标文件或者投标报价，但招标文件要求提交备选投标的除外；</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投标报价低于成本或者高于招标文件设定的最高投标限价；</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投标文件没有对招标文件的实质性要求和条件作出响应；</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投标人有串通投标、弄虚作假、行贿等违法行为；</w:t>
      </w:r>
    </w:p>
    <w:p>
      <w:pPr>
        <w:numPr>
          <w:ilvl w:val="0"/>
          <w:numId w:val="19"/>
        </w:num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投标人存在下列情况之一的，投标无效：</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不具备招标文件中规定资格要求的或资格证明文件不齐全；</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投标函未提交或已提交但不符合招标文件要求的；</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投标人未按招标文件要求缴纳投标保证金的；</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未按照招标文件规定要求签署、盖章或投标文件没有法定代表人签字，或签字人没有法定代表人有效授权书的；</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投标单价高于单价上限价的;</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投标文件不满足招标文件的实质性条款（即标注★号条款）；</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投标文件有招标文件中规定的被视为投标无效或否决投标的其它条款的；</w:t>
      </w:r>
    </w:p>
    <w:p>
      <w:pPr>
        <w:numPr>
          <w:ilvl w:val="1"/>
          <w:numId w:val="19"/>
        </w:numPr>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按有关法律、法规、规章属于投标无效或否决投标的。</w:t>
      </w:r>
    </w:p>
    <w:p>
      <w:pPr>
        <w:numPr>
          <w:ilvl w:val="0"/>
          <w:numId w:val="19"/>
        </w:numPr>
        <w:spacing w:line="360" w:lineRule="auto"/>
        <w:jc w:val="both"/>
        <w:rPr>
          <w:rFonts w:ascii="宋体" w:hAnsi="宋体" w:cs="宋体"/>
          <w:color w:val="auto"/>
          <w:sz w:val="21"/>
          <w:szCs w:val="21"/>
          <w:highlight w:val="none"/>
        </w:rPr>
      </w:pPr>
      <w:r>
        <w:rPr>
          <w:rFonts w:hint="eastAsia" w:ascii="宋体" w:hAnsi="宋体" w:cs="宋体"/>
          <w:b/>
          <w:color w:val="auto"/>
          <w:sz w:val="21"/>
          <w:szCs w:val="21"/>
          <w:highlight w:val="none"/>
        </w:rPr>
        <w:t>单位负责人为同一人或者存在控股、管理关系的不同单位，不得参加同一标段投标或者未划分标段的同一招标项目投标。</w:t>
      </w:r>
    </w:p>
    <w:p>
      <w:pPr>
        <w:numPr>
          <w:ilvl w:val="0"/>
          <w:numId w:val="19"/>
        </w:numPr>
        <w:spacing w:line="360" w:lineRule="auto"/>
        <w:jc w:val="both"/>
        <w:rPr>
          <w:rFonts w:ascii="宋体" w:hAnsi="宋体" w:cs="宋体"/>
          <w:color w:val="auto"/>
          <w:sz w:val="21"/>
          <w:szCs w:val="21"/>
          <w:highlight w:val="none"/>
        </w:rPr>
      </w:pPr>
      <w:r>
        <w:rPr>
          <w:rFonts w:hint="eastAsia" w:ascii="宋体" w:hAnsi="宋体" w:cs="宋体"/>
          <w:b/>
          <w:color w:val="auto"/>
          <w:sz w:val="21"/>
          <w:szCs w:val="21"/>
          <w:highlight w:val="none"/>
        </w:rPr>
        <w:t>凡两家或以上投标人为同一法定代表人参加同一项目的投标，一经发现，将视同串标处理。</w:t>
      </w:r>
    </w:p>
    <w:p>
      <w:pPr>
        <w:spacing w:line="360" w:lineRule="auto"/>
        <w:rPr>
          <w:rFonts w:ascii="宋体" w:hAnsi="宋体" w:cs="宋体"/>
          <w:color w:val="auto"/>
          <w:sz w:val="21"/>
          <w:szCs w:val="21"/>
          <w:highlight w:val="none"/>
        </w:rPr>
        <w:sectPr>
          <w:pgSz w:w="11906" w:h="16838"/>
          <w:pgMar w:top="1134" w:right="1134" w:bottom="1134" w:left="1134" w:header="851" w:footer="725" w:gutter="0"/>
          <w:pgNumType w:fmt="decimal"/>
          <w:cols w:space="720" w:num="1"/>
          <w:titlePg/>
          <w:docGrid w:type="lines" w:linePitch="312" w:charSpace="0"/>
        </w:sectPr>
      </w:pPr>
    </w:p>
    <w:p>
      <w:pPr>
        <w:snapToGrid w:val="0"/>
        <w:spacing w:line="360" w:lineRule="auto"/>
        <w:jc w:val="center"/>
        <w:outlineLvl w:val="0"/>
        <w:rPr>
          <w:rFonts w:ascii="宋体" w:hAnsi="宋体" w:cs="宋体"/>
          <w:b/>
          <w:bCs/>
          <w:color w:val="auto"/>
          <w:sz w:val="36"/>
          <w:szCs w:val="36"/>
          <w:highlight w:val="none"/>
        </w:rPr>
      </w:pPr>
      <w:bookmarkStart w:id="10" w:name="_Toc30345"/>
      <w:r>
        <w:rPr>
          <w:rFonts w:hint="eastAsia" w:ascii="宋体" w:hAnsi="宋体" w:cs="宋体"/>
          <w:b/>
          <w:bCs/>
          <w:color w:val="auto"/>
          <w:sz w:val="36"/>
          <w:szCs w:val="36"/>
          <w:highlight w:val="none"/>
        </w:rPr>
        <w:t>第四章 评分体系与标准</w:t>
      </w:r>
      <w:bookmarkEnd w:id="10"/>
    </w:p>
    <w:p>
      <w:pPr>
        <w:spacing w:line="360" w:lineRule="auto"/>
        <w:jc w:val="both"/>
        <w:rPr>
          <w:rFonts w:ascii="宋体" w:hAnsi="宋体" w:cs="宋体"/>
          <w:color w:val="auto"/>
          <w:sz w:val="21"/>
          <w:szCs w:val="21"/>
          <w:highlight w:val="none"/>
        </w:rPr>
      </w:pPr>
    </w:p>
    <w:p>
      <w:pPr>
        <w:tabs>
          <w:tab w:val="left" w:pos="630"/>
        </w:tabs>
        <w:spacing w:line="360" w:lineRule="auto"/>
        <w:ind w:firstLine="598" w:firstLineChars="285"/>
        <w:jc w:val="both"/>
        <w:rPr>
          <w:rFonts w:ascii="宋体" w:hAnsi="宋体" w:cs="宋体"/>
          <w:color w:val="auto"/>
          <w:sz w:val="21"/>
          <w:szCs w:val="21"/>
          <w:highlight w:val="none"/>
        </w:rPr>
      </w:pPr>
      <w:r>
        <w:rPr>
          <w:rFonts w:hint="eastAsia" w:ascii="宋体" w:hAnsi="宋体" w:cs="宋体"/>
          <w:color w:val="auto"/>
          <w:sz w:val="21"/>
          <w:szCs w:val="21"/>
          <w:highlight w:val="none"/>
        </w:rPr>
        <w:t>参照《中华人民共和国招标投标法》、《中华人民共和国招标投标法实施条例》、广东省实施《中华人民共和国招标投标法》办法及相关法律、法规的规定确定以下评标方法、步骤及标准。</w:t>
      </w:r>
    </w:p>
    <w:p>
      <w:pPr>
        <w:numPr>
          <w:ilvl w:val="0"/>
          <w:numId w:val="23"/>
        </w:numPr>
        <w:tabs>
          <w:tab w:val="left" w:pos="400"/>
        </w:tabs>
        <w:adjustRightInd/>
        <w:spacing w:line="360" w:lineRule="auto"/>
        <w:ind w:left="398" w:hanging="398" w:hangingChars="189"/>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总则</w:t>
      </w:r>
    </w:p>
    <w:p>
      <w:pPr>
        <w:pStyle w:val="2"/>
        <w:numPr>
          <w:ilvl w:val="0"/>
          <w:numId w:val="24"/>
        </w:numPr>
        <w:spacing w:before="0" w:after="0" w:line="360" w:lineRule="auto"/>
        <w:ind w:left="398" w:hanging="398" w:hangingChars="18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w:t>
      </w:r>
    </w:p>
    <w:p>
      <w:pPr>
        <w:numPr>
          <w:ilvl w:val="1"/>
          <w:numId w:val="24"/>
        </w:numPr>
        <w:adjustRightInd/>
        <w:spacing w:line="360" w:lineRule="auto"/>
        <w:ind w:left="397" w:hanging="396" w:hangingChars="189"/>
        <w:jc w:val="both"/>
        <w:rPr>
          <w:rFonts w:ascii="宋体" w:hAnsi="宋体" w:cs="宋体"/>
          <w:color w:val="auto"/>
          <w:sz w:val="21"/>
          <w:szCs w:val="21"/>
          <w:highlight w:val="none"/>
        </w:rPr>
      </w:pPr>
      <w:r>
        <w:rPr>
          <w:rFonts w:hint="eastAsia" w:ascii="宋体" w:hAnsi="宋体" w:cs="宋体"/>
          <w:color w:val="auto"/>
          <w:sz w:val="21"/>
          <w:szCs w:val="21"/>
          <w:highlight w:val="none"/>
        </w:rPr>
        <w:t>本次招标依法组建评标委员会。评标委员会负责全部评审工作，任何人不得干预评委会的工作。评委会下设评标工作小组，主要负责相关资料的整理、记录评标情况等工作。评审专家（不含招标人代表）有下列情形之一的，受到邀请应主动提出回避，招标当事人也可以要求该评审专家回避：</w:t>
      </w:r>
    </w:p>
    <w:p>
      <w:pPr>
        <w:pStyle w:val="2"/>
        <w:numPr>
          <w:ilvl w:val="0"/>
          <w:numId w:val="25"/>
        </w:numPr>
        <w:spacing w:before="0" w:after="0" w:line="360"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投标人或者投标主要负责人的近亲属；</w:t>
      </w:r>
    </w:p>
    <w:p>
      <w:pPr>
        <w:numPr>
          <w:ilvl w:val="0"/>
          <w:numId w:val="25"/>
        </w:numPr>
        <w:adjustRightInd/>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项目主管部门或者行政监督部门的人员；</w:t>
      </w:r>
    </w:p>
    <w:p>
      <w:pPr>
        <w:pStyle w:val="2"/>
        <w:numPr>
          <w:ilvl w:val="0"/>
          <w:numId w:val="25"/>
        </w:numPr>
        <w:spacing w:before="0" w:after="0" w:line="360"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与投标人有其他社会关系或者经济利益关系，可能影响对投标公正评审的；</w:t>
      </w:r>
    </w:p>
    <w:p>
      <w:pPr>
        <w:numPr>
          <w:ilvl w:val="0"/>
          <w:numId w:val="25"/>
        </w:numPr>
        <w:adjustRightInd/>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曾因在招标、评标以及其他与招标投标有关活动中从事违法行为而受过行政处罚或刑事处罚的</w:t>
      </w:r>
    </w:p>
    <w:p>
      <w:pPr>
        <w:pStyle w:val="2"/>
        <w:numPr>
          <w:ilvl w:val="0"/>
          <w:numId w:val="25"/>
        </w:numPr>
        <w:spacing w:before="0" w:after="0" w:line="360"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参与招标文件论证的</w:t>
      </w:r>
    </w:p>
    <w:p>
      <w:pPr>
        <w:numPr>
          <w:ilvl w:val="0"/>
          <w:numId w:val="25"/>
        </w:numPr>
        <w:adjustRightInd/>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法律、法规、规章规定应当回避以及其他可能影响公正评审的。</w:t>
      </w:r>
    </w:p>
    <w:p>
      <w:pPr>
        <w:numPr>
          <w:ilvl w:val="1"/>
          <w:numId w:val="24"/>
        </w:numPr>
        <w:adjustRightInd/>
        <w:spacing w:line="360" w:lineRule="auto"/>
        <w:ind w:left="397" w:hanging="396" w:hangingChars="189"/>
        <w:jc w:val="both"/>
        <w:rPr>
          <w:color w:val="auto"/>
          <w:sz w:val="21"/>
          <w:szCs w:val="21"/>
          <w:highlight w:val="none"/>
        </w:rPr>
      </w:pPr>
      <w:r>
        <w:rPr>
          <w:rFonts w:hint="eastAsia"/>
          <w:color w:val="auto"/>
          <w:sz w:val="21"/>
          <w:szCs w:val="21"/>
          <w:highlight w:val="none"/>
        </w:rPr>
        <w:t>评标委员会将按照招标文件确定的评标方法进行评标。对招标文件中描述有歧义或前后不一致的地方，评标委员会有权按法律法规的规定进行评判，但对同一条款的评判应适用于每个投标人。对资格预审文件、招标文件规定的评标标准、评标方法、资格审查条款、否决投标条款的理解发生争议的，应当按照通常理解予以解释。有两种以上解释的，应当作出不利于招标人的解释。</w:t>
      </w:r>
    </w:p>
    <w:p>
      <w:pPr>
        <w:numPr>
          <w:ilvl w:val="1"/>
          <w:numId w:val="24"/>
        </w:numPr>
        <w:adjustRightInd/>
        <w:spacing w:line="360" w:lineRule="auto"/>
        <w:ind w:left="397" w:hanging="396" w:hangingChars="189"/>
        <w:jc w:val="both"/>
        <w:rPr>
          <w:rFonts w:ascii="宋体" w:hAnsi="宋体" w:cs="宋体"/>
          <w:color w:val="auto"/>
          <w:sz w:val="21"/>
          <w:szCs w:val="21"/>
          <w:highlight w:val="none"/>
        </w:rPr>
      </w:pPr>
      <w:r>
        <w:rPr>
          <w:rFonts w:hint="eastAsia"/>
          <w:color w:val="auto"/>
          <w:sz w:val="21"/>
          <w:szCs w:val="21"/>
          <w:highlight w:val="none"/>
        </w:rPr>
        <w:t>在评标期间，为方便对投标文件进行审核、评估和对比，评标委员会可以以书面形式要求投标人对投标文件中含义不明确、对同类问题表述不一致或者明显文字和计算错误的内容作出必要的书面澄清说</w:t>
      </w:r>
      <w:r>
        <w:rPr>
          <w:rFonts w:hint="eastAsia" w:ascii="宋体" w:hAnsi="宋体" w:cs="宋体"/>
          <w:color w:val="auto"/>
          <w:sz w:val="21"/>
          <w:szCs w:val="21"/>
          <w:highlight w:val="none"/>
        </w:rPr>
        <w:t>明，但该澄清说明不得超出投标文件的范围或者改变投标文件的实质性内容。</w:t>
      </w:r>
    </w:p>
    <w:p>
      <w:pPr>
        <w:numPr>
          <w:ilvl w:val="1"/>
          <w:numId w:val="24"/>
        </w:numPr>
        <w:adjustRightInd/>
        <w:spacing w:line="360" w:lineRule="auto"/>
        <w:ind w:left="397" w:hanging="396" w:hangingChars="189"/>
        <w:jc w:val="both"/>
        <w:rPr>
          <w:rFonts w:ascii="宋体" w:hAnsi="宋体" w:cs="宋体"/>
          <w:color w:val="auto"/>
          <w:sz w:val="21"/>
          <w:szCs w:val="21"/>
          <w:highlight w:val="none"/>
        </w:rPr>
      </w:pPr>
      <w:r>
        <w:rPr>
          <w:rFonts w:hint="eastAsia" w:ascii="宋体" w:hAnsi="宋体" w:cs="宋体"/>
          <w:color w:val="auto"/>
          <w:sz w:val="21"/>
          <w:szCs w:val="21"/>
          <w:highlight w:val="none"/>
        </w:rPr>
        <w:t>如有必要，评标委员会将书面要求投标人修正投标文件中不构成实质性偏离的、微小的、非规的、不一致的或不规则的地方，这些修正不应影响评标的公正公平</w:t>
      </w:r>
    </w:p>
    <w:p>
      <w:pPr>
        <w:numPr>
          <w:ilvl w:val="1"/>
          <w:numId w:val="24"/>
        </w:numPr>
        <w:adjustRightInd/>
        <w:spacing w:line="360" w:lineRule="auto"/>
        <w:ind w:left="397" w:hanging="396" w:hangingChars="189"/>
        <w:jc w:val="both"/>
        <w:rPr>
          <w:rFonts w:ascii="宋体" w:hAnsi="宋体" w:cs="宋体"/>
          <w:color w:val="auto"/>
          <w:sz w:val="21"/>
          <w:szCs w:val="21"/>
          <w:highlight w:val="none"/>
        </w:rPr>
      </w:pPr>
      <w:r>
        <w:rPr>
          <w:rFonts w:hint="eastAsia" w:ascii="宋体" w:hAnsi="宋体" w:cs="宋体"/>
          <w:color w:val="auto"/>
          <w:sz w:val="21"/>
          <w:szCs w:val="21"/>
          <w:highlight w:val="none"/>
        </w:rPr>
        <w:t>参与评标工作的所有人员必须参照《中华人民共和国招标投标法》、《中华人民共和国招标投标法实施条例》、广东省实施《中华人民共和国招标投标法》办法及相关法律、法规的规定，以确保评标的公平、公正。</w:t>
      </w:r>
    </w:p>
    <w:p>
      <w:pPr>
        <w:pStyle w:val="2"/>
        <w:numPr>
          <w:ilvl w:val="0"/>
          <w:numId w:val="24"/>
        </w:numPr>
        <w:spacing w:before="0" w:after="0" w:line="360" w:lineRule="auto"/>
        <w:ind w:left="268" w:hanging="268" w:hangingChars="12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p>
      <w:pPr>
        <w:numPr>
          <w:ilvl w:val="1"/>
          <w:numId w:val="24"/>
        </w:numPr>
        <w:adjustRightInd/>
        <w:spacing w:line="360" w:lineRule="auto"/>
        <w:ind w:left="397" w:hanging="396" w:hangingChars="189"/>
        <w:jc w:val="both"/>
        <w:rPr>
          <w:rFonts w:ascii="宋体" w:hAnsi="宋体" w:cs="宋体"/>
          <w:color w:val="auto"/>
          <w:sz w:val="21"/>
          <w:szCs w:val="21"/>
          <w:highlight w:val="none"/>
        </w:rPr>
      </w:pPr>
      <w:r>
        <w:rPr>
          <w:rFonts w:hint="eastAsia" w:ascii="宋体" w:hAnsi="宋体" w:cs="宋体"/>
          <w:color w:val="auto"/>
          <w:sz w:val="21"/>
          <w:szCs w:val="21"/>
          <w:highlight w:val="none"/>
        </w:rPr>
        <w:t>本次评标采用综合评分法评审。</w:t>
      </w:r>
    </w:p>
    <w:p>
      <w:pPr>
        <w:numPr>
          <w:ilvl w:val="1"/>
          <w:numId w:val="24"/>
        </w:numPr>
        <w:snapToGrid w:val="0"/>
        <w:spacing w:line="360" w:lineRule="auto"/>
        <w:ind w:left="397" w:hanging="396" w:hangingChars="189"/>
        <w:jc w:val="both"/>
        <w:rPr>
          <w:rFonts w:ascii="宋体" w:hAnsi="宋体" w:cs="宋体"/>
          <w:color w:val="auto"/>
          <w:sz w:val="21"/>
          <w:szCs w:val="21"/>
          <w:highlight w:val="none"/>
        </w:rPr>
      </w:pPr>
      <w:r>
        <w:rPr>
          <w:rFonts w:hint="eastAsia" w:ascii="宋体" w:hAnsi="宋体" w:cs="宋体"/>
          <w:color w:val="auto"/>
          <w:sz w:val="21"/>
          <w:szCs w:val="21"/>
          <w:highlight w:val="none"/>
        </w:rPr>
        <w:t>本次评标是以招标文件为依据，按公正、科学、客观、平等竞争的要求，推荐技术先进、报价合理、经验丰富、信誉良好、售后服务好以及综合实力强的中标人。</w:t>
      </w:r>
    </w:p>
    <w:p>
      <w:pPr>
        <w:pStyle w:val="2"/>
        <w:numPr>
          <w:ilvl w:val="0"/>
          <w:numId w:val="24"/>
        </w:numPr>
        <w:adjustRightInd w:val="0"/>
        <w:snapToGrid w:val="0"/>
        <w:spacing w:before="0" w:after="0" w:line="360" w:lineRule="auto"/>
        <w:ind w:left="268" w:hanging="268" w:hangingChars="12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评标步骤</w:t>
      </w:r>
    </w:p>
    <w:p>
      <w:pPr>
        <w:numPr>
          <w:ilvl w:val="1"/>
          <w:numId w:val="24"/>
        </w:numPr>
        <w:snapToGrid w:val="0"/>
        <w:spacing w:line="360" w:lineRule="auto"/>
        <w:ind w:left="397" w:hanging="396" w:hangingChars="189"/>
        <w:jc w:val="both"/>
        <w:rPr>
          <w:rFonts w:ascii="宋体" w:hAnsi="宋体" w:cs="宋体"/>
          <w:color w:val="auto"/>
          <w:sz w:val="21"/>
          <w:szCs w:val="21"/>
          <w:highlight w:val="none"/>
        </w:rPr>
      </w:pPr>
      <w:r>
        <w:rPr>
          <w:rFonts w:hint="eastAsia" w:ascii="宋体" w:hAnsi="宋体" w:cs="宋体"/>
          <w:color w:val="auto"/>
          <w:sz w:val="21"/>
          <w:szCs w:val="21"/>
          <w:highlight w:val="none"/>
        </w:rPr>
        <w:t>评标委员会先进行初步评审，再进行技术商务及价格的详细评审。只有通过初步评审的投标人才能进入详细评审阶段。最后评标委员会出具评标报告，并推荐三名中标候选人。</w:t>
      </w:r>
    </w:p>
    <w:p>
      <w:pPr>
        <w:pStyle w:val="2"/>
        <w:numPr>
          <w:ilvl w:val="0"/>
          <w:numId w:val="24"/>
        </w:numPr>
        <w:adjustRightInd w:val="0"/>
        <w:snapToGrid w:val="0"/>
        <w:spacing w:before="0" w:after="0" w:line="360" w:lineRule="auto"/>
        <w:ind w:left="268" w:hanging="268" w:hangingChars="12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评分及其统计</w:t>
      </w:r>
    </w:p>
    <w:p>
      <w:pPr>
        <w:numPr>
          <w:ilvl w:val="1"/>
          <w:numId w:val="24"/>
        </w:numPr>
        <w:snapToGrid w:val="0"/>
        <w:spacing w:line="360" w:lineRule="auto"/>
        <w:ind w:left="397" w:hanging="396" w:hangingChars="189"/>
        <w:jc w:val="both"/>
        <w:rPr>
          <w:rFonts w:ascii="宋体" w:hAnsi="宋体" w:cs="宋体"/>
          <w:color w:val="auto"/>
          <w:sz w:val="21"/>
          <w:szCs w:val="21"/>
          <w:highlight w:val="none"/>
        </w:rPr>
      </w:pPr>
      <w:r>
        <w:rPr>
          <w:rFonts w:hint="eastAsia" w:ascii="宋体" w:hAnsi="宋体" w:cs="宋体"/>
          <w:color w:val="auto"/>
          <w:sz w:val="21"/>
          <w:szCs w:val="21"/>
          <w:highlight w:val="none"/>
        </w:rPr>
        <w:t>评分及其统计：按照评标程序、评分标准以及权重分配的规定，评标委员会成员首先分别就各个投标人的技术状况、商务状况以及其对招标文件要求的响应情况进行评议和比较，评出其技术商务评分。技术商务评分的算术平均值即为该投标人的技术商务部分评分。然后，评出投标人的价格评分，将各个投标人的技术商务评分和价格评分分别乘以权重并相加得出综合得分。将各个综合得分由高到低顺序排列，推荐综合得分排名第一的投标人为第一中标候选人，排名第二的投标人为第二中标候选人，排名第三的投标人为第三中标候选人。由招标人依法确定中标人。中标人放弃中标、因不可抗力不能履行合同、不按照招标文件要求递交履约保证金，提供的货物或服务未能达到招标文件和投标文件中的相关要求，或者被查实存在中中标结果的违法行为等情形，不符合中标条件的，招标人有权按照评标委员会提出的中标候选人名单排序依次确定其他中标候选人为中标人，也可以重新招标。</w:t>
      </w:r>
    </w:p>
    <w:p>
      <w:pPr>
        <w:numPr>
          <w:ilvl w:val="0"/>
          <w:numId w:val="23"/>
        </w:numPr>
        <w:tabs>
          <w:tab w:val="left" w:pos="400"/>
        </w:tabs>
        <w:snapToGrid w:val="0"/>
        <w:spacing w:line="360" w:lineRule="auto"/>
        <w:ind w:left="398" w:hanging="398" w:hangingChars="189"/>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初步评审</w:t>
      </w:r>
    </w:p>
    <w:p>
      <w:pPr>
        <w:pStyle w:val="2"/>
        <w:numPr>
          <w:ilvl w:val="0"/>
          <w:numId w:val="24"/>
        </w:numPr>
        <w:adjustRightInd w:val="0"/>
        <w:snapToGrid w:val="0"/>
        <w:spacing w:before="0" w:after="0" w:line="360" w:lineRule="auto"/>
        <w:ind w:left="267" w:hanging="266" w:hangingChars="127"/>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按照《资格、符合性评审表》内容对投标文件资格性检查及符合性检查，只有对《资格、符合性评审表》所列各项作出实质性响应的投标文件才能通过初步审查。对是否实质性响应招标文件的要求有争议的投标，评标委员会将以记名方式表决，被认为响应的得票超过半数的投标人有资格进入下一阶段的评审，否则将被淘汰。</w:t>
      </w:r>
    </w:p>
    <w:p>
      <w:pPr>
        <w:pStyle w:val="2"/>
        <w:numPr>
          <w:ilvl w:val="0"/>
          <w:numId w:val="24"/>
        </w:numPr>
        <w:adjustRightInd w:val="0"/>
        <w:snapToGrid w:val="0"/>
        <w:spacing w:before="0" w:after="0" w:line="360" w:lineRule="auto"/>
        <w:ind w:left="267" w:hanging="266" w:hangingChars="127"/>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将按《投标人须知》规定修正各投标人的投标报价（见附表3）、审查投标文件是否完整、有关资格证明文件是否齐全有效、是否提交投标保证金、文件签署是否合格、投标有效期是否满足要求、投标文件的总体编排是否基本有序等。</w:t>
      </w:r>
    </w:p>
    <w:p>
      <w:pPr>
        <w:pStyle w:val="2"/>
        <w:numPr>
          <w:ilvl w:val="0"/>
          <w:numId w:val="24"/>
        </w:numPr>
        <w:adjustRightInd w:val="0"/>
        <w:spacing w:before="0" w:after="0" w:line="360" w:lineRule="auto"/>
        <w:ind w:left="267" w:hanging="266" w:hangingChars="127"/>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详细评审之前，评标委员会要审查每份投标文件是否实质上响应了招标文件的要求。实质上响应的投标应该是与招标文件要求的关键条款、条件和规格相符合，没有重大偏离或保留的投标。所谓重大偏离或保留是指实质上影响合同的供货范围、质量和性能；或者实质上与招标文件不一致。而且限制了合同中招标人的权利或投标人的义务；纠正这些偏离或保留将会对其他实质上响应要求的投标人的竞争地位产生不公正的影响。评标委员会决定投标文件的响应性只根据投标文件本身的内容，而不寻找外部的证据。</w:t>
      </w:r>
    </w:p>
    <w:p>
      <w:pPr>
        <w:pStyle w:val="2"/>
        <w:numPr>
          <w:ilvl w:val="0"/>
          <w:numId w:val="24"/>
        </w:numPr>
        <w:adjustRightInd w:val="0"/>
        <w:spacing w:before="0" w:after="0" w:line="360" w:lineRule="auto"/>
        <w:ind w:left="267" w:hanging="266" w:hangingChars="127"/>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评标委员会将审查实质参加投标人数是否够三家，以决定是否需废标。若通过初步评审的投标人不足法定三家的，本项目将作废标处理。</w:t>
      </w:r>
    </w:p>
    <w:p>
      <w:pPr>
        <w:pStyle w:val="2"/>
        <w:numPr>
          <w:ilvl w:val="0"/>
          <w:numId w:val="24"/>
        </w:numPr>
        <w:adjustRightInd w:val="0"/>
        <w:spacing w:before="0" w:after="0" w:line="360" w:lineRule="auto"/>
        <w:ind w:left="267" w:hanging="266" w:hangingChars="127"/>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无效投标的认定</w:t>
      </w:r>
    </w:p>
    <w:p>
      <w:pPr>
        <w:numPr>
          <w:ilvl w:val="1"/>
          <w:numId w:val="24"/>
        </w:numPr>
        <w:spacing w:line="360" w:lineRule="auto"/>
        <w:ind w:left="397" w:hanging="396" w:hangingChars="189"/>
        <w:jc w:val="both"/>
        <w:rPr>
          <w:rFonts w:ascii="宋体" w:hAnsi="宋体" w:cs="宋体"/>
          <w:color w:val="auto"/>
          <w:sz w:val="21"/>
          <w:szCs w:val="21"/>
          <w:highlight w:val="none"/>
        </w:rPr>
      </w:pPr>
      <w:r>
        <w:rPr>
          <w:rFonts w:hint="eastAsia" w:ascii="宋体" w:hAnsi="宋体" w:cs="宋体"/>
          <w:color w:val="auto"/>
          <w:sz w:val="21"/>
          <w:szCs w:val="21"/>
          <w:highlight w:val="none"/>
        </w:rPr>
        <w:t>按《资格、符合性评审表》所列各项，投标文件不满足招标文件要求的，将被认定为无效投标。</w:t>
      </w:r>
    </w:p>
    <w:p>
      <w:pPr>
        <w:numPr>
          <w:ilvl w:val="0"/>
          <w:numId w:val="23"/>
        </w:numPr>
        <w:tabs>
          <w:tab w:val="left" w:pos="400"/>
        </w:tabs>
        <w:snapToGrid w:val="0"/>
        <w:spacing w:line="360" w:lineRule="auto"/>
        <w:ind w:left="398" w:hanging="398" w:hangingChars="189"/>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详细评审</w:t>
      </w:r>
    </w:p>
    <w:p>
      <w:pPr>
        <w:pStyle w:val="2"/>
        <w:numPr>
          <w:ilvl w:val="0"/>
          <w:numId w:val="24"/>
        </w:numPr>
        <w:adjustRightInd w:val="0"/>
        <w:spacing w:before="0" w:after="0" w:line="360" w:lineRule="auto"/>
        <w:ind w:left="267" w:hanging="266" w:hangingChars="127"/>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详细评审是对通过初步评审的投标进行技术商务和价格的评审</w:t>
      </w:r>
    </w:p>
    <w:p>
      <w:pPr>
        <w:numPr>
          <w:ilvl w:val="1"/>
          <w:numId w:val="24"/>
        </w:numPr>
        <w:spacing w:line="360" w:lineRule="auto"/>
        <w:ind w:left="397" w:hanging="396" w:hangingChars="189"/>
        <w:rPr>
          <w:rFonts w:asciiTheme="minorEastAsia" w:hAnsiTheme="minorEastAsia" w:eastAsiaTheme="minorEastAsia"/>
          <w:color w:val="auto"/>
          <w:sz w:val="21"/>
          <w:szCs w:val="21"/>
          <w:highlight w:val="none"/>
        </w:rPr>
      </w:pPr>
      <w:r>
        <w:rPr>
          <w:rFonts w:hint="eastAsia"/>
          <w:color w:val="auto"/>
          <w:sz w:val="21"/>
          <w:szCs w:val="21"/>
          <w:highlight w:val="none"/>
        </w:rPr>
        <w:t>价格评分：</w:t>
      </w:r>
    </w:p>
    <w:p>
      <w:pPr>
        <w:spacing w:line="360" w:lineRule="auto"/>
        <w:ind w:left="397"/>
        <w:rPr>
          <w:rFonts w:asciiTheme="minorEastAsia" w:hAnsiTheme="minorEastAsia" w:eastAsiaTheme="minorEastAsia"/>
          <w:color w:val="auto"/>
          <w:sz w:val="21"/>
          <w:szCs w:val="21"/>
          <w:highlight w:val="none"/>
        </w:rPr>
      </w:pPr>
      <w:r>
        <w:rPr>
          <w:rFonts w:hint="eastAsia"/>
          <w:color w:val="auto"/>
          <w:sz w:val="21"/>
          <w:szCs w:val="21"/>
          <w:highlight w:val="none"/>
        </w:rPr>
        <w:t>（1）将所有通过初步评审再经评标委员会修正后的投标人投标报价（投标折扣</w:t>
      </w:r>
      <w:r>
        <w:rPr>
          <w:rFonts w:hint="eastAsia" w:asciiTheme="minorEastAsia" w:hAnsiTheme="minorEastAsia" w:eastAsiaTheme="minorEastAsia"/>
          <w:color w:val="auto"/>
          <w:sz w:val="21"/>
          <w:szCs w:val="21"/>
          <w:highlight w:val="none"/>
        </w:rPr>
        <w:t>率）</w:t>
      </w:r>
      <w:r>
        <w:rPr>
          <w:rFonts w:hint="eastAsia"/>
          <w:color w:val="auto"/>
          <w:sz w:val="21"/>
          <w:szCs w:val="21"/>
          <w:highlight w:val="none"/>
        </w:rPr>
        <w:t>去掉最高报价和最低报价，余下的投标人报价取算术平均值作为基准价格（如果有效报价的投标人不足5家（不含5家)），基准价格直接按各投标人报价的算术平均值计取），定为100分，高于或低于基准价格的投标报价（投标折扣率）</w:t>
      </w:r>
      <w:r>
        <w:rPr>
          <w:rFonts w:hint="eastAsia" w:asciiTheme="minorEastAsia" w:hAnsiTheme="minorEastAsia" w:eastAsiaTheme="minorEastAsia"/>
          <w:color w:val="auto"/>
          <w:sz w:val="21"/>
          <w:szCs w:val="21"/>
          <w:highlight w:val="none"/>
        </w:rPr>
        <w:t>则按其比例，每高于1％减1分；等于为满分；每低于1％减0.5分；如此类推，减至0分止，算出所有投标人的价格评分，分数精确到小数点后2位。</w:t>
      </w:r>
    </w:p>
    <w:p>
      <w:pPr>
        <w:spacing w:line="360" w:lineRule="auto"/>
        <w:ind w:left="400" w:left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价格评审公式如下：等于基准价的价格得分=100*权重。</w:t>
      </w:r>
    </w:p>
    <w:p>
      <w:pPr>
        <w:spacing w:line="360" w:lineRule="auto"/>
        <w:ind w:left="380" w:leftChars="190" w:firstLine="16" w:firstLineChars="8"/>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高于基准价的价格得分=[100-（投标报价-基准价格）/(1*基准价格/100)]*权重</w:t>
      </w:r>
    </w:p>
    <w:p>
      <w:pPr>
        <w:spacing w:line="360" w:lineRule="auto"/>
        <w:ind w:left="380" w:leftChars="190" w:firstLine="16" w:firstLineChars="8"/>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低于基准价的价格得分=[100-（基准价格-投标报价）/(1*基准价格/100)]*权重</w:t>
      </w:r>
    </w:p>
    <w:p>
      <w:pPr>
        <w:numPr>
          <w:ilvl w:val="1"/>
          <w:numId w:val="24"/>
        </w:numPr>
        <w:spacing w:line="360" w:lineRule="auto"/>
        <w:ind w:left="397" w:hanging="396" w:hangingChars="189"/>
        <w:rPr>
          <w:rFonts w:asciiTheme="minorEastAsia" w:hAnsiTheme="minorEastAsia" w:eastAsiaTheme="minorEastAsia"/>
          <w:color w:val="auto"/>
          <w:highlight w:val="none"/>
        </w:rPr>
      </w:pPr>
      <w:r>
        <w:rPr>
          <w:rFonts w:hint="eastAsia" w:asciiTheme="minorEastAsia" w:hAnsiTheme="minorEastAsia" w:eastAsiaTheme="minorEastAsia"/>
          <w:color w:val="auto"/>
          <w:sz w:val="21"/>
          <w:szCs w:val="21"/>
          <w:highlight w:val="none"/>
        </w:rPr>
        <w:t>评分总值最高位100分，技术商务及价格评分分值（权重）分配：</w:t>
      </w:r>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19"/>
        <w:gridCol w:w="2576"/>
        <w:gridCol w:w="32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719" w:type="dxa"/>
            <w:vAlign w:val="center"/>
          </w:tcPr>
          <w:p>
            <w:pPr>
              <w:wordWrap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评分项目</w:t>
            </w:r>
          </w:p>
        </w:tc>
        <w:tc>
          <w:tcPr>
            <w:tcW w:w="2576" w:type="dxa"/>
            <w:vAlign w:val="center"/>
          </w:tcPr>
          <w:p>
            <w:pPr>
              <w:wordWrap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技术商务评分</w:t>
            </w:r>
          </w:p>
        </w:tc>
        <w:tc>
          <w:tcPr>
            <w:tcW w:w="3221" w:type="dxa"/>
            <w:vAlign w:val="center"/>
          </w:tcPr>
          <w:p>
            <w:pPr>
              <w:wordWrap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719" w:type="dxa"/>
            <w:vAlign w:val="center"/>
          </w:tcPr>
          <w:p>
            <w:pPr>
              <w:wordWrap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权重（总和为100%）</w:t>
            </w:r>
          </w:p>
        </w:tc>
        <w:tc>
          <w:tcPr>
            <w:tcW w:w="2576" w:type="dxa"/>
            <w:vAlign w:val="center"/>
          </w:tcPr>
          <w:p>
            <w:pPr>
              <w:wordWrap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80％</w:t>
            </w:r>
          </w:p>
        </w:tc>
        <w:tc>
          <w:tcPr>
            <w:tcW w:w="3221" w:type="dxa"/>
            <w:vAlign w:val="center"/>
          </w:tcPr>
          <w:p>
            <w:pPr>
              <w:wordWrap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719" w:type="dxa"/>
            <w:vAlign w:val="center"/>
          </w:tcPr>
          <w:p>
            <w:pPr>
              <w:wordWrap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分配分数（合计100 分）</w:t>
            </w:r>
          </w:p>
        </w:tc>
        <w:tc>
          <w:tcPr>
            <w:tcW w:w="2576" w:type="dxa"/>
            <w:vAlign w:val="center"/>
          </w:tcPr>
          <w:p>
            <w:pPr>
              <w:wordWrap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80分</w:t>
            </w:r>
          </w:p>
        </w:tc>
        <w:tc>
          <w:tcPr>
            <w:tcW w:w="3221" w:type="dxa"/>
            <w:vAlign w:val="center"/>
          </w:tcPr>
          <w:p>
            <w:pPr>
              <w:wordWrap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20分</w:t>
            </w:r>
          </w:p>
        </w:tc>
      </w:tr>
    </w:tbl>
    <w:p>
      <w:pPr>
        <w:spacing w:line="360" w:lineRule="auto"/>
        <w:ind w:left="376" w:leftChars="188"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根据上述技术商务及价格的综合评分及其权重分配，代入下列公式计算各投标人的总得分。进入详细评审的各投标人的综合得分，按得分从高到低排名（得分相同时，投标报价低者优先）。</w:t>
      </w:r>
    </w:p>
    <w:p>
      <w:pPr>
        <w:spacing w:line="360" w:lineRule="auto"/>
        <w:ind w:left="800" w:leftChars="400" w:firstLine="14" w:firstLineChars="7"/>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评标总得分=技术商务评分+价格评分</w:t>
      </w:r>
    </w:p>
    <w:p>
      <w:pPr>
        <w:spacing w:line="360" w:lineRule="auto"/>
        <w:ind w:left="800" w:leftChars="400" w:firstLine="14" w:firstLineChars="7"/>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注：得分按四舍五入规则，保留小数点后2位。</w:t>
      </w:r>
    </w:p>
    <w:p>
      <w:pPr>
        <w:numPr>
          <w:ilvl w:val="0"/>
          <w:numId w:val="23"/>
        </w:numPr>
        <w:tabs>
          <w:tab w:val="left" w:pos="400"/>
        </w:tabs>
        <w:snapToGrid w:val="0"/>
        <w:spacing w:line="360" w:lineRule="auto"/>
        <w:ind w:left="401" w:hanging="401" w:hangingChars="190"/>
        <w:jc w:val="both"/>
        <w:rPr>
          <w:rFonts w:ascii="宋体" w:hAnsi="宋体"/>
          <w:b/>
          <w:bCs/>
          <w:color w:val="auto"/>
          <w:kern w:val="2"/>
          <w:sz w:val="21"/>
          <w:szCs w:val="21"/>
          <w:highlight w:val="none"/>
        </w:rPr>
      </w:pPr>
      <w:r>
        <w:rPr>
          <w:rFonts w:hint="eastAsia" w:ascii="宋体" w:hAnsi="宋体"/>
          <w:b/>
          <w:bCs/>
          <w:color w:val="auto"/>
          <w:kern w:val="2"/>
          <w:sz w:val="21"/>
          <w:szCs w:val="21"/>
          <w:highlight w:val="none"/>
        </w:rPr>
        <w:t>中标候选人</w:t>
      </w:r>
    </w:p>
    <w:p>
      <w:pPr>
        <w:pStyle w:val="2"/>
        <w:numPr>
          <w:ilvl w:val="0"/>
          <w:numId w:val="24"/>
        </w:numPr>
        <w:adjustRightInd w:val="0"/>
        <w:spacing w:before="0" w:after="0" w:line="360" w:lineRule="auto"/>
        <w:ind w:left="399" w:hanging="399" w:hangingChars="190"/>
        <w:rPr>
          <w:rFonts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评标委员会将出具评标报告，并排序推荐中标候选人。</w:t>
      </w:r>
    </w:p>
    <w:p>
      <w:pPr>
        <w:numPr>
          <w:ilvl w:val="1"/>
          <w:numId w:val="24"/>
        </w:numPr>
        <w:spacing w:line="360" w:lineRule="auto"/>
        <w:ind w:left="399" w:hanging="399" w:hangingChars="190"/>
        <w:rPr>
          <w:color w:val="auto"/>
          <w:sz w:val="21"/>
          <w:szCs w:val="21"/>
          <w:highlight w:val="none"/>
        </w:rPr>
      </w:pPr>
      <w:r>
        <w:rPr>
          <w:rFonts w:hint="eastAsia"/>
          <w:color w:val="auto"/>
          <w:sz w:val="21"/>
          <w:szCs w:val="21"/>
          <w:highlight w:val="none"/>
        </w:rPr>
        <w:t>推荐中标候选投标人名单：本项目将各有效投标人按其评标总得分由高到低顺序排列，推荐前三名为中标候选人。当评标总得分相同的，按下列顺序比较确定：（1）投标报价（由低到高）；（2）如报价相同的，名次由评标委员会抽签确定。除《投标须知前附表》另有规定的，推荐综合得分排名第一的投标人为第一中标候选人，排名第二的投标人为第二中标候选人，以此类推。</w:t>
      </w:r>
    </w:p>
    <w:p>
      <w:pPr>
        <w:numPr>
          <w:ilvl w:val="1"/>
          <w:numId w:val="24"/>
        </w:numPr>
        <w:spacing w:line="360" w:lineRule="auto"/>
        <w:ind w:left="399" w:hanging="399" w:hangingChars="190"/>
        <w:rPr>
          <w:color w:val="auto"/>
          <w:sz w:val="21"/>
          <w:szCs w:val="21"/>
          <w:highlight w:val="none"/>
        </w:rPr>
        <w:sectPr>
          <w:pgSz w:w="11907" w:h="16840"/>
          <w:pgMar w:top="1418" w:right="1289" w:bottom="1134" w:left="1018" w:header="851" w:footer="851" w:gutter="0"/>
          <w:pgNumType w:fmt="decimal"/>
          <w:cols w:space="720" w:num="1"/>
          <w:docGrid w:linePitch="312" w:charSpace="0"/>
        </w:sectPr>
      </w:pPr>
      <w:r>
        <w:rPr>
          <w:rFonts w:hint="eastAsia"/>
          <w:color w:val="auto"/>
          <w:sz w:val="21"/>
          <w:szCs w:val="21"/>
          <w:highlight w:val="none"/>
        </w:rPr>
        <w:t>根据评标委员会的评标结果，招标人依法确定中标人，也可以事先授权评标委员会直接确定中标人。</w:t>
      </w:r>
    </w:p>
    <w:p>
      <w:pPr>
        <w:rPr>
          <w:rFonts w:ascii="宋体" w:hAnsi="宋体" w:cs="宋体"/>
          <w:color w:val="auto"/>
          <w:sz w:val="22"/>
          <w:szCs w:val="22"/>
          <w:highlight w:val="none"/>
        </w:rPr>
      </w:pPr>
      <w:r>
        <w:rPr>
          <w:rFonts w:hint="eastAsia" w:ascii="宋体" w:hAnsi="宋体" w:cs="宋体"/>
          <w:color w:val="auto"/>
          <w:sz w:val="22"/>
          <w:szCs w:val="22"/>
          <w:highlight w:val="none"/>
        </w:rPr>
        <w:t>附表1：</w:t>
      </w:r>
    </w:p>
    <w:p>
      <w:pPr>
        <w:snapToGrid w:val="0"/>
        <w:spacing w:line="360" w:lineRule="auto"/>
        <w:jc w:val="center"/>
        <w:rPr>
          <w:rFonts w:ascii="宋体" w:hAnsi="宋体" w:cs="宋体"/>
          <w:b/>
          <w:color w:val="auto"/>
          <w:sz w:val="21"/>
          <w:szCs w:val="21"/>
          <w:highlight w:val="none"/>
        </w:rPr>
      </w:pPr>
      <w:r>
        <w:rPr>
          <w:rFonts w:hint="eastAsia" w:ascii="宋体" w:hAnsi="宋体" w:cs="宋体"/>
          <w:color w:val="auto"/>
          <w:sz w:val="28"/>
          <w:szCs w:val="28"/>
          <w:highlight w:val="none"/>
        </w:rPr>
        <w:t>资格、符合性评审条款</w:t>
      </w:r>
    </w:p>
    <w:p>
      <w:pPr>
        <w:spacing w:line="360" w:lineRule="auto"/>
        <w:rPr>
          <w:rFonts w:ascii="宋体" w:hAnsi="宋体" w:cs="宋体"/>
          <w:snapToGrid w:val="0"/>
          <w:color w:val="auto"/>
          <w:spacing w:val="8"/>
          <w:sz w:val="21"/>
          <w:szCs w:val="21"/>
          <w:highlight w:val="none"/>
        </w:rPr>
      </w:pPr>
      <w:r>
        <w:rPr>
          <w:rFonts w:hint="eastAsia" w:ascii="宋体" w:hAnsi="宋体" w:cs="宋体"/>
          <w:color w:val="auto"/>
          <w:sz w:val="21"/>
          <w:szCs w:val="21"/>
          <w:highlight w:val="none"/>
        </w:rPr>
        <w:t>项目名称：中山市火炬科学技术学校小卖部承包经营项目</w:t>
      </w:r>
    </w:p>
    <w:p>
      <w:pPr>
        <w:spacing w:line="360" w:lineRule="auto"/>
        <w:rPr>
          <w:rFonts w:ascii="宋体" w:hAnsi="宋体" w:cs="宋体"/>
          <w:snapToGrid w:val="0"/>
          <w:color w:val="auto"/>
          <w:spacing w:val="8"/>
          <w:sz w:val="21"/>
          <w:szCs w:val="21"/>
          <w:highlight w:val="none"/>
        </w:rPr>
      </w:pPr>
      <w:r>
        <w:rPr>
          <w:rFonts w:hint="eastAsia" w:ascii="宋体" w:hAnsi="宋体" w:cs="宋体"/>
          <w:color w:val="auto"/>
          <w:sz w:val="21"/>
          <w:szCs w:val="21"/>
          <w:highlight w:val="none"/>
        </w:rPr>
        <w:t>项目编号：FH2022CG0113</w:t>
      </w:r>
    </w:p>
    <w:tbl>
      <w:tblPr>
        <w:tblStyle w:val="20"/>
        <w:tblW w:w="9857"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5919"/>
        <w:gridCol w:w="994"/>
        <w:gridCol w:w="97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114" w:type="dxa"/>
            <w:tcBorders>
              <w:top w:val="single" w:color="auto" w:sz="12" w:space="0"/>
              <w:left w:val="single" w:color="auto" w:sz="12" w:space="0"/>
              <w:right w:val="single" w:color="auto" w:sz="12" w:space="0"/>
            </w:tcBorders>
            <w:vAlign w:val="center"/>
          </w:tcPr>
          <w:p>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5919" w:type="dxa"/>
            <w:tcBorders>
              <w:top w:val="single" w:color="auto" w:sz="12" w:space="0"/>
              <w:left w:val="single" w:color="auto" w:sz="12" w:space="0"/>
              <w:right w:val="single" w:color="auto" w:sz="12" w:space="0"/>
            </w:tcBorders>
          </w:tcPr>
          <w:p>
            <w:pPr>
              <w:spacing w:line="360" w:lineRule="auto"/>
              <w:jc w:val="right"/>
              <w:rPr>
                <w:rFonts w:ascii="宋体" w:hAnsi="宋体" w:cs="宋体"/>
                <w:b/>
                <w:color w:val="auto"/>
                <w:sz w:val="21"/>
                <w:szCs w:val="21"/>
                <w:highlight w:val="none"/>
              </w:rPr>
            </w:pPr>
            <w:r>
              <w:rPr>
                <w:color w:val="auto"/>
                <w:sz w:val="21"/>
                <w:highlight w:val="none"/>
              </w:rPr>
              <mc:AlternateContent>
                <mc:Choice Requires="wps">
                  <w:drawing>
                    <wp:anchor distT="0" distB="0" distL="114300" distR="114300" simplePos="0" relativeHeight="251668480" behindDoc="0" locked="0" layoutInCell="1" allowOverlap="1">
                      <wp:simplePos x="0" y="0"/>
                      <wp:positionH relativeFrom="column">
                        <wp:posOffset>-47625</wp:posOffset>
                      </wp:positionH>
                      <wp:positionV relativeFrom="paragraph">
                        <wp:posOffset>13970</wp:posOffset>
                      </wp:positionV>
                      <wp:extent cx="3762375" cy="575310"/>
                      <wp:effectExtent l="635" t="4445" r="8890" b="10795"/>
                      <wp:wrapNone/>
                      <wp:docPr id="9" name="直接连接符 9"/>
                      <wp:cNvGraphicFramePr/>
                      <a:graphic xmlns:a="http://schemas.openxmlformats.org/drawingml/2006/main">
                        <a:graphicData uri="http://schemas.microsoft.com/office/word/2010/wordprocessingShape">
                          <wps:wsp>
                            <wps:cNvCnPr/>
                            <wps:spPr>
                              <a:xfrm>
                                <a:off x="1503680" y="2155825"/>
                                <a:ext cx="3762375" cy="5753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5pt;margin-top:1.1pt;height:45.3pt;width:296.25pt;z-index:251668480;mso-width-relative:page;mso-height-relative:page;" filled="f" stroked="t" coordsize="21600,21600" o:gfxdata="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1w1QAAAAcBAAAPAAAAAAAAAAEAIAAAACIAAABkcnMvZG93bnJldi54bWxQSwEC&#10;FAAUAAAACACHTuJAhZA1C/cBAADCAwAADgAAAAAAAAABACAAAAAkAQAAZHJzL2Uyb0RvYy54bWxQ&#10;SwUGAAAAAAYABgBZAQAAjQUAAAAA&#10;">
                      <v:fill on="f" focussize="0,0"/>
                      <v:stroke weight="0.5pt" color="#000000 [3213]" miterlimit="8" joinstyle="miter"/>
                      <v:imagedata o:title=""/>
                      <o:lock v:ext="edit" aspectratio="f"/>
                    </v:line>
                  </w:pict>
                </mc:Fallback>
              </mc:AlternateContent>
            </w:r>
            <w:r>
              <w:rPr>
                <w:rFonts w:hint="eastAsia" w:ascii="宋体" w:hAnsi="宋体" w:cs="宋体"/>
                <w:b/>
                <w:color w:val="auto"/>
                <w:sz w:val="21"/>
                <w:szCs w:val="21"/>
                <w:highlight w:val="none"/>
              </w:rPr>
              <w:t>投标人</w:t>
            </w:r>
          </w:p>
          <w:p>
            <w:pPr>
              <w:tabs>
                <w:tab w:val="left" w:pos="432"/>
                <w:tab w:val="left" w:pos="612"/>
              </w:tabs>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投标有效性审查项</w:t>
            </w:r>
          </w:p>
        </w:tc>
        <w:tc>
          <w:tcPr>
            <w:tcW w:w="994" w:type="dxa"/>
            <w:tcBorders>
              <w:top w:val="single" w:color="auto" w:sz="12" w:space="0"/>
              <w:left w:val="single" w:color="auto" w:sz="12" w:space="0"/>
              <w:right w:val="single" w:color="auto" w:sz="12" w:space="0"/>
            </w:tcBorders>
            <w:vAlign w:val="center"/>
          </w:tcPr>
          <w:p>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投标人（1）</w:t>
            </w:r>
          </w:p>
        </w:tc>
        <w:tc>
          <w:tcPr>
            <w:tcW w:w="976" w:type="dxa"/>
            <w:tcBorders>
              <w:top w:val="single" w:color="auto" w:sz="12" w:space="0"/>
              <w:left w:val="single" w:color="auto" w:sz="12" w:space="0"/>
              <w:right w:val="single" w:color="auto" w:sz="12" w:space="0"/>
            </w:tcBorders>
            <w:vAlign w:val="center"/>
          </w:tcPr>
          <w:p>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投标人（3）</w:t>
            </w:r>
          </w:p>
        </w:tc>
        <w:tc>
          <w:tcPr>
            <w:tcW w:w="854" w:type="dxa"/>
            <w:tcBorders>
              <w:top w:val="single" w:color="auto" w:sz="12" w:space="0"/>
              <w:left w:val="single" w:color="auto" w:sz="12" w:space="0"/>
              <w:right w:val="single" w:color="auto" w:sz="12" w:space="0"/>
            </w:tcBorders>
            <w:vAlign w:val="center"/>
          </w:tcPr>
          <w:p>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14" w:type="dxa"/>
            <w:tcBorders>
              <w:top w:val="single" w:color="auto" w:sz="4" w:space="0"/>
              <w:left w:val="single" w:color="auto" w:sz="12" w:space="0"/>
              <w:right w:val="single" w:color="auto" w:sz="12" w:space="0"/>
            </w:tcBorders>
            <w:vAlign w:val="center"/>
          </w:tcPr>
          <w:p>
            <w:pPr>
              <w:numPr>
                <w:ilvl w:val="0"/>
                <w:numId w:val="26"/>
              </w:numPr>
              <w:tabs>
                <w:tab w:val="left" w:pos="612"/>
              </w:tabs>
              <w:spacing w:line="360" w:lineRule="auto"/>
              <w:jc w:val="center"/>
              <w:rPr>
                <w:rFonts w:ascii="宋体" w:hAnsi="宋体" w:cs="宋体"/>
                <w:color w:val="auto"/>
                <w:sz w:val="21"/>
                <w:szCs w:val="21"/>
                <w:highlight w:val="none"/>
              </w:rPr>
            </w:pPr>
          </w:p>
        </w:tc>
        <w:tc>
          <w:tcPr>
            <w:tcW w:w="5919" w:type="dxa"/>
            <w:tcBorders>
              <w:top w:val="single" w:color="auto" w:sz="4" w:space="0"/>
              <w:left w:val="single" w:color="auto" w:sz="12" w:space="0"/>
              <w:right w:val="single" w:color="auto" w:sz="12" w:space="0"/>
            </w:tcBorders>
            <w:vAlign w:val="center"/>
          </w:tcPr>
          <w:p>
            <w:pPr>
              <w:tabs>
                <w:tab w:val="left" w:pos="432"/>
                <w:tab w:val="left" w:pos="612"/>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投标函及投标有效期符合招标文件要求</w:t>
            </w:r>
          </w:p>
        </w:tc>
        <w:tc>
          <w:tcPr>
            <w:tcW w:w="994" w:type="dxa"/>
            <w:tcBorders>
              <w:top w:val="single" w:color="auto" w:sz="4" w:space="0"/>
              <w:left w:val="single" w:color="auto" w:sz="12" w:space="0"/>
              <w:right w:val="single" w:color="auto" w:sz="12" w:space="0"/>
            </w:tcBorders>
            <w:vAlign w:val="center"/>
          </w:tcPr>
          <w:p>
            <w:pPr>
              <w:tabs>
                <w:tab w:val="left" w:pos="432"/>
                <w:tab w:val="left" w:pos="612"/>
              </w:tabs>
              <w:spacing w:line="360" w:lineRule="auto"/>
              <w:rPr>
                <w:rFonts w:ascii="宋体" w:hAnsi="宋体" w:cs="宋体"/>
                <w:color w:val="auto"/>
                <w:sz w:val="21"/>
                <w:szCs w:val="21"/>
                <w:highlight w:val="none"/>
              </w:rPr>
            </w:pPr>
          </w:p>
        </w:tc>
        <w:tc>
          <w:tcPr>
            <w:tcW w:w="976" w:type="dxa"/>
            <w:tcBorders>
              <w:top w:val="single" w:color="auto" w:sz="4" w:space="0"/>
              <w:left w:val="single" w:color="auto" w:sz="12" w:space="0"/>
              <w:right w:val="single" w:color="auto" w:sz="12" w:space="0"/>
            </w:tcBorders>
            <w:vAlign w:val="center"/>
          </w:tcPr>
          <w:p>
            <w:pPr>
              <w:tabs>
                <w:tab w:val="left" w:pos="432"/>
                <w:tab w:val="left" w:pos="612"/>
              </w:tabs>
              <w:spacing w:line="360" w:lineRule="auto"/>
              <w:rPr>
                <w:rFonts w:ascii="宋体" w:hAnsi="宋体" w:cs="宋体"/>
                <w:color w:val="auto"/>
                <w:sz w:val="21"/>
                <w:szCs w:val="21"/>
                <w:highlight w:val="none"/>
              </w:rPr>
            </w:pPr>
          </w:p>
        </w:tc>
        <w:tc>
          <w:tcPr>
            <w:tcW w:w="854" w:type="dxa"/>
            <w:tcBorders>
              <w:top w:val="single" w:color="auto" w:sz="4" w:space="0"/>
              <w:left w:val="single" w:color="auto" w:sz="12" w:space="0"/>
              <w:right w:val="single" w:color="auto" w:sz="12" w:space="0"/>
            </w:tcBorders>
            <w:vAlign w:val="center"/>
          </w:tcPr>
          <w:p>
            <w:pPr>
              <w:tabs>
                <w:tab w:val="left" w:pos="432"/>
                <w:tab w:val="left" w:pos="612"/>
              </w:tabs>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14" w:type="dxa"/>
            <w:tcBorders>
              <w:top w:val="single" w:color="auto" w:sz="4" w:space="0"/>
              <w:left w:val="single" w:color="auto" w:sz="12" w:space="0"/>
              <w:right w:val="single" w:color="auto" w:sz="12" w:space="0"/>
            </w:tcBorders>
            <w:vAlign w:val="center"/>
          </w:tcPr>
          <w:p>
            <w:pPr>
              <w:numPr>
                <w:ilvl w:val="0"/>
                <w:numId w:val="26"/>
              </w:numPr>
              <w:tabs>
                <w:tab w:val="left" w:pos="612"/>
              </w:tabs>
              <w:spacing w:line="360" w:lineRule="auto"/>
              <w:jc w:val="center"/>
              <w:rPr>
                <w:rFonts w:ascii="宋体" w:hAnsi="宋体" w:cs="宋体"/>
                <w:color w:val="auto"/>
                <w:sz w:val="21"/>
                <w:szCs w:val="21"/>
                <w:highlight w:val="none"/>
              </w:rPr>
            </w:pPr>
          </w:p>
        </w:tc>
        <w:tc>
          <w:tcPr>
            <w:tcW w:w="5919" w:type="dxa"/>
            <w:tcBorders>
              <w:top w:val="single" w:color="auto" w:sz="4" w:space="0"/>
              <w:left w:val="single" w:color="auto" w:sz="12" w:space="0"/>
              <w:right w:val="single" w:color="auto" w:sz="12" w:space="0"/>
            </w:tcBorders>
            <w:vAlign w:val="center"/>
          </w:tcPr>
          <w:p>
            <w:pPr>
              <w:tabs>
                <w:tab w:val="left" w:pos="432"/>
                <w:tab w:val="left" w:pos="612"/>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具备招标文件中规定资格要求的及资格证明文件齐全；</w:t>
            </w:r>
          </w:p>
        </w:tc>
        <w:tc>
          <w:tcPr>
            <w:tcW w:w="994" w:type="dxa"/>
            <w:tcBorders>
              <w:top w:val="single" w:color="auto" w:sz="4" w:space="0"/>
              <w:left w:val="single" w:color="auto" w:sz="12" w:space="0"/>
              <w:right w:val="single" w:color="auto" w:sz="12" w:space="0"/>
            </w:tcBorders>
            <w:vAlign w:val="center"/>
          </w:tcPr>
          <w:p>
            <w:pPr>
              <w:tabs>
                <w:tab w:val="left" w:pos="432"/>
                <w:tab w:val="left" w:pos="612"/>
              </w:tabs>
              <w:spacing w:line="360" w:lineRule="auto"/>
              <w:rPr>
                <w:rFonts w:ascii="宋体" w:hAnsi="宋体" w:cs="宋体"/>
                <w:color w:val="auto"/>
                <w:sz w:val="21"/>
                <w:szCs w:val="21"/>
                <w:highlight w:val="none"/>
              </w:rPr>
            </w:pPr>
          </w:p>
        </w:tc>
        <w:tc>
          <w:tcPr>
            <w:tcW w:w="976" w:type="dxa"/>
            <w:tcBorders>
              <w:top w:val="single" w:color="auto" w:sz="4" w:space="0"/>
              <w:left w:val="single" w:color="auto" w:sz="12" w:space="0"/>
              <w:right w:val="single" w:color="auto" w:sz="12" w:space="0"/>
            </w:tcBorders>
            <w:vAlign w:val="center"/>
          </w:tcPr>
          <w:p>
            <w:pPr>
              <w:tabs>
                <w:tab w:val="left" w:pos="432"/>
                <w:tab w:val="left" w:pos="612"/>
              </w:tabs>
              <w:spacing w:line="360" w:lineRule="auto"/>
              <w:rPr>
                <w:rFonts w:ascii="宋体" w:hAnsi="宋体" w:cs="宋体"/>
                <w:color w:val="auto"/>
                <w:sz w:val="21"/>
                <w:szCs w:val="21"/>
                <w:highlight w:val="none"/>
              </w:rPr>
            </w:pPr>
          </w:p>
        </w:tc>
        <w:tc>
          <w:tcPr>
            <w:tcW w:w="854" w:type="dxa"/>
            <w:tcBorders>
              <w:top w:val="single" w:color="auto" w:sz="4" w:space="0"/>
              <w:left w:val="single" w:color="auto" w:sz="12" w:space="0"/>
              <w:right w:val="single" w:color="auto" w:sz="12" w:space="0"/>
            </w:tcBorders>
            <w:vAlign w:val="center"/>
          </w:tcPr>
          <w:p>
            <w:pPr>
              <w:tabs>
                <w:tab w:val="left" w:pos="432"/>
                <w:tab w:val="left" w:pos="612"/>
              </w:tabs>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114" w:type="dxa"/>
            <w:tcBorders>
              <w:top w:val="single" w:color="auto" w:sz="4" w:space="0"/>
              <w:left w:val="single" w:color="auto" w:sz="12" w:space="0"/>
              <w:bottom w:val="single" w:color="auto" w:sz="4" w:space="0"/>
              <w:right w:val="single" w:color="auto" w:sz="12" w:space="0"/>
            </w:tcBorders>
            <w:vAlign w:val="center"/>
          </w:tcPr>
          <w:p>
            <w:pPr>
              <w:numPr>
                <w:ilvl w:val="0"/>
                <w:numId w:val="26"/>
              </w:numPr>
              <w:tabs>
                <w:tab w:val="left" w:pos="612"/>
              </w:tabs>
              <w:spacing w:line="360" w:lineRule="auto"/>
              <w:jc w:val="center"/>
              <w:rPr>
                <w:rFonts w:ascii="宋体" w:hAnsi="宋体" w:cs="宋体"/>
                <w:color w:val="auto"/>
                <w:sz w:val="21"/>
                <w:szCs w:val="21"/>
                <w:highlight w:val="none"/>
              </w:rPr>
            </w:pPr>
          </w:p>
        </w:tc>
        <w:tc>
          <w:tcPr>
            <w:tcW w:w="5919" w:type="dxa"/>
            <w:tcBorders>
              <w:top w:val="single" w:color="auto" w:sz="4" w:space="0"/>
              <w:left w:val="single" w:color="auto" w:sz="12" w:space="0"/>
              <w:bottom w:val="single" w:color="auto" w:sz="4" w:space="0"/>
              <w:right w:val="single" w:color="auto" w:sz="12" w:space="0"/>
            </w:tcBorders>
            <w:vAlign w:val="center"/>
          </w:tcPr>
          <w:p>
            <w:pPr>
              <w:tabs>
                <w:tab w:val="left" w:pos="612"/>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投标人按招标文件要求缴纳投标保证金的； </w:t>
            </w:r>
          </w:p>
        </w:tc>
        <w:tc>
          <w:tcPr>
            <w:tcW w:w="994" w:type="dxa"/>
            <w:tcBorders>
              <w:top w:val="single" w:color="auto" w:sz="4" w:space="0"/>
              <w:left w:val="single" w:color="auto" w:sz="12" w:space="0"/>
              <w:bottom w:val="single" w:color="auto" w:sz="4" w:space="0"/>
              <w:right w:val="single" w:color="auto" w:sz="12" w:space="0"/>
            </w:tcBorders>
            <w:vAlign w:val="center"/>
          </w:tcPr>
          <w:p>
            <w:pPr>
              <w:tabs>
                <w:tab w:val="left" w:pos="612"/>
              </w:tabs>
              <w:spacing w:line="360" w:lineRule="auto"/>
              <w:rPr>
                <w:rFonts w:ascii="宋体" w:hAnsi="宋体" w:cs="宋体"/>
                <w:color w:val="auto"/>
                <w:sz w:val="21"/>
                <w:szCs w:val="21"/>
                <w:highlight w:val="none"/>
              </w:rPr>
            </w:pPr>
          </w:p>
        </w:tc>
        <w:tc>
          <w:tcPr>
            <w:tcW w:w="976" w:type="dxa"/>
            <w:tcBorders>
              <w:top w:val="single" w:color="auto" w:sz="4" w:space="0"/>
              <w:left w:val="single" w:color="auto" w:sz="12" w:space="0"/>
              <w:bottom w:val="single" w:color="auto" w:sz="4" w:space="0"/>
              <w:right w:val="single" w:color="auto" w:sz="12" w:space="0"/>
            </w:tcBorders>
            <w:vAlign w:val="center"/>
          </w:tcPr>
          <w:p>
            <w:pPr>
              <w:tabs>
                <w:tab w:val="left" w:pos="612"/>
              </w:tabs>
              <w:spacing w:line="360" w:lineRule="auto"/>
              <w:rPr>
                <w:rFonts w:ascii="宋体" w:hAnsi="宋体" w:cs="宋体"/>
                <w:color w:val="auto"/>
                <w:sz w:val="21"/>
                <w:szCs w:val="21"/>
                <w:highlight w:val="none"/>
              </w:rPr>
            </w:pPr>
          </w:p>
        </w:tc>
        <w:tc>
          <w:tcPr>
            <w:tcW w:w="854" w:type="dxa"/>
            <w:tcBorders>
              <w:top w:val="single" w:color="auto" w:sz="4" w:space="0"/>
              <w:left w:val="single" w:color="auto" w:sz="12" w:space="0"/>
              <w:bottom w:val="single" w:color="auto" w:sz="4" w:space="0"/>
              <w:right w:val="single" w:color="auto" w:sz="12" w:space="0"/>
            </w:tcBorders>
            <w:vAlign w:val="center"/>
          </w:tcPr>
          <w:p>
            <w:pPr>
              <w:tabs>
                <w:tab w:val="left" w:pos="612"/>
              </w:tabs>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1114" w:type="dxa"/>
            <w:tcBorders>
              <w:top w:val="single" w:color="auto" w:sz="4" w:space="0"/>
              <w:left w:val="single" w:color="auto" w:sz="12" w:space="0"/>
              <w:bottom w:val="single" w:color="auto" w:sz="4" w:space="0"/>
              <w:right w:val="single" w:color="auto" w:sz="12" w:space="0"/>
            </w:tcBorders>
            <w:vAlign w:val="center"/>
          </w:tcPr>
          <w:p>
            <w:pPr>
              <w:numPr>
                <w:ilvl w:val="0"/>
                <w:numId w:val="26"/>
              </w:numPr>
              <w:tabs>
                <w:tab w:val="left" w:pos="612"/>
              </w:tabs>
              <w:spacing w:line="360" w:lineRule="auto"/>
              <w:jc w:val="center"/>
              <w:rPr>
                <w:rFonts w:ascii="宋体" w:hAnsi="宋体" w:cs="宋体"/>
                <w:color w:val="auto"/>
                <w:sz w:val="21"/>
                <w:szCs w:val="21"/>
                <w:highlight w:val="none"/>
              </w:rPr>
            </w:pPr>
          </w:p>
        </w:tc>
        <w:tc>
          <w:tcPr>
            <w:tcW w:w="5919" w:type="dxa"/>
            <w:tcBorders>
              <w:top w:val="single" w:color="auto" w:sz="4" w:space="0"/>
              <w:left w:val="single" w:color="auto" w:sz="12" w:space="0"/>
              <w:bottom w:val="single" w:color="auto" w:sz="4" w:space="0"/>
              <w:right w:val="single" w:color="auto" w:sz="12" w:space="0"/>
            </w:tcBorders>
            <w:vAlign w:val="center"/>
          </w:tcPr>
          <w:p>
            <w:pPr>
              <w:tabs>
                <w:tab w:val="left" w:pos="612"/>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按照招标文件规定要求签署、盖章且投标文件有法定代表人签字，或签字人有法定代表人有效授权书的；</w:t>
            </w:r>
          </w:p>
        </w:tc>
        <w:tc>
          <w:tcPr>
            <w:tcW w:w="994" w:type="dxa"/>
            <w:tcBorders>
              <w:top w:val="single" w:color="auto" w:sz="4" w:space="0"/>
              <w:left w:val="single" w:color="auto" w:sz="12" w:space="0"/>
              <w:bottom w:val="single" w:color="auto" w:sz="4" w:space="0"/>
              <w:right w:val="single" w:color="auto" w:sz="12" w:space="0"/>
            </w:tcBorders>
            <w:vAlign w:val="center"/>
          </w:tcPr>
          <w:p>
            <w:pPr>
              <w:tabs>
                <w:tab w:val="left" w:pos="612"/>
              </w:tabs>
              <w:spacing w:line="360" w:lineRule="auto"/>
              <w:rPr>
                <w:rFonts w:ascii="宋体" w:hAnsi="宋体" w:cs="宋体"/>
                <w:color w:val="auto"/>
                <w:sz w:val="21"/>
                <w:szCs w:val="21"/>
                <w:highlight w:val="none"/>
              </w:rPr>
            </w:pPr>
          </w:p>
        </w:tc>
        <w:tc>
          <w:tcPr>
            <w:tcW w:w="976" w:type="dxa"/>
            <w:tcBorders>
              <w:top w:val="single" w:color="auto" w:sz="4" w:space="0"/>
              <w:left w:val="single" w:color="auto" w:sz="12" w:space="0"/>
              <w:bottom w:val="single" w:color="auto" w:sz="4" w:space="0"/>
              <w:right w:val="single" w:color="auto" w:sz="12" w:space="0"/>
            </w:tcBorders>
            <w:vAlign w:val="center"/>
          </w:tcPr>
          <w:p>
            <w:pPr>
              <w:tabs>
                <w:tab w:val="left" w:pos="612"/>
              </w:tabs>
              <w:spacing w:line="360" w:lineRule="auto"/>
              <w:rPr>
                <w:rFonts w:ascii="宋体" w:hAnsi="宋体" w:cs="宋体"/>
                <w:color w:val="auto"/>
                <w:sz w:val="21"/>
                <w:szCs w:val="21"/>
                <w:highlight w:val="none"/>
              </w:rPr>
            </w:pPr>
          </w:p>
        </w:tc>
        <w:tc>
          <w:tcPr>
            <w:tcW w:w="854" w:type="dxa"/>
            <w:tcBorders>
              <w:top w:val="single" w:color="auto" w:sz="4" w:space="0"/>
              <w:left w:val="single" w:color="auto" w:sz="12" w:space="0"/>
              <w:bottom w:val="single" w:color="auto" w:sz="4" w:space="0"/>
              <w:right w:val="single" w:color="auto" w:sz="12" w:space="0"/>
            </w:tcBorders>
            <w:vAlign w:val="center"/>
          </w:tcPr>
          <w:p>
            <w:pPr>
              <w:tabs>
                <w:tab w:val="left" w:pos="612"/>
              </w:tabs>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114" w:type="dxa"/>
            <w:tcBorders>
              <w:top w:val="single" w:color="auto" w:sz="4" w:space="0"/>
              <w:left w:val="single" w:color="auto" w:sz="12" w:space="0"/>
              <w:bottom w:val="single" w:color="auto" w:sz="4" w:space="0"/>
              <w:right w:val="single" w:color="auto" w:sz="12" w:space="0"/>
            </w:tcBorders>
            <w:vAlign w:val="center"/>
          </w:tcPr>
          <w:p>
            <w:pPr>
              <w:numPr>
                <w:ilvl w:val="0"/>
                <w:numId w:val="26"/>
              </w:numPr>
              <w:tabs>
                <w:tab w:val="left" w:pos="612"/>
              </w:tabs>
              <w:spacing w:line="360" w:lineRule="auto"/>
              <w:jc w:val="center"/>
              <w:rPr>
                <w:rFonts w:ascii="宋体" w:hAnsi="宋体" w:cs="宋体"/>
                <w:color w:val="auto"/>
                <w:sz w:val="21"/>
                <w:szCs w:val="21"/>
                <w:highlight w:val="none"/>
              </w:rPr>
            </w:pPr>
          </w:p>
        </w:tc>
        <w:tc>
          <w:tcPr>
            <w:tcW w:w="5919" w:type="dxa"/>
            <w:tcBorders>
              <w:top w:val="single" w:color="auto" w:sz="4" w:space="0"/>
              <w:left w:val="single" w:color="auto" w:sz="12" w:space="0"/>
              <w:bottom w:val="single" w:color="auto" w:sz="4" w:space="0"/>
              <w:right w:val="single" w:color="auto" w:sz="12" w:space="0"/>
            </w:tcBorders>
            <w:vAlign w:val="center"/>
          </w:tcPr>
          <w:p>
            <w:pPr>
              <w:tabs>
                <w:tab w:val="left" w:pos="612"/>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投标报价符合招标文件报价要求；</w:t>
            </w:r>
          </w:p>
        </w:tc>
        <w:tc>
          <w:tcPr>
            <w:tcW w:w="994" w:type="dxa"/>
            <w:tcBorders>
              <w:top w:val="single" w:color="auto" w:sz="4" w:space="0"/>
              <w:left w:val="single" w:color="auto" w:sz="12" w:space="0"/>
              <w:bottom w:val="single" w:color="auto" w:sz="4" w:space="0"/>
              <w:right w:val="single" w:color="auto" w:sz="12" w:space="0"/>
            </w:tcBorders>
            <w:vAlign w:val="center"/>
          </w:tcPr>
          <w:p>
            <w:pPr>
              <w:tabs>
                <w:tab w:val="left" w:pos="612"/>
              </w:tabs>
              <w:spacing w:line="360" w:lineRule="auto"/>
              <w:rPr>
                <w:rFonts w:ascii="宋体" w:hAnsi="宋体" w:cs="宋体"/>
                <w:color w:val="auto"/>
                <w:sz w:val="21"/>
                <w:szCs w:val="21"/>
                <w:highlight w:val="none"/>
              </w:rPr>
            </w:pPr>
          </w:p>
        </w:tc>
        <w:tc>
          <w:tcPr>
            <w:tcW w:w="976" w:type="dxa"/>
            <w:tcBorders>
              <w:top w:val="single" w:color="auto" w:sz="4" w:space="0"/>
              <w:left w:val="single" w:color="auto" w:sz="12" w:space="0"/>
              <w:bottom w:val="single" w:color="auto" w:sz="4" w:space="0"/>
              <w:right w:val="single" w:color="auto" w:sz="12" w:space="0"/>
            </w:tcBorders>
            <w:vAlign w:val="center"/>
          </w:tcPr>
          <w:p>
            <w:pPr>
              <w:tabs>
                <w:tab w:val="left" w:pos="612"/>
              </w:tabs>
              <w:spacing w:line="360" w:lineRule="auto"/>
              <w:rPr>
                <w:rFonts w:ascii="宋体" w:hAnsi="宋体" w:cs="宋体"/>
                <w:color w:val="auto"/>
                <w:sz w:val="21"/>
                <w:szCs w:val="21"/>
                <w:highlight w:val="none"/>
              </w:rPr>
            </w:pPr>
          </w:p>
        </w:tc>
        <w:tc>
          <w:tcPr>
            <w:tcW w:w="854" w:type="dxa"/>
            <w:tcBorders>
              <w:top w:val="single" w:color="auto" w:sz="4" w:space="0"/>
              <w:left w:val="single" w:color="auto" w:sz="12" w:space="0"/>
              <w:bottom w:val="single" w:color="auto" w:sz="4" w:space="0"/>
              <w:right w:val="single" w:color="auto" w:sz="12" w:space="0"/>
            </w:tcBorders>
            <w:vAlign w:val="center"/>
          </w:tcPr>
          <w:p>
            <w:pPr>
              <w:tabs>
                <w:tab w:val="left" w:pos="612"/>
              </w:tabs>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114" w:type="dxa"/>
            <w:tcBorders>
              <w:top w:val="single" w:color="auto" w:sz="4" w:space="0"/>
              <w:left w:val="single" w:color="auto" w:sz="12" w:space="0"/>
              <w:bottom w:val="single" w:color="auto" w:sz="4" w:space="0"/>
              <w:right w:val="single" w:color="auto" w:sz="12" w:space="0"/>
            </w:tcBorders>
            <w:vAlign w:val="center"/>
          </w:tcPr>
          <w:p>
            <w:pPr>
              <w:numPr>
                <w:ilvl w:val="0"/>
                <w:numId w:val="26"/>
              </w:numPr>
              <w:tabs>
                <w:tab w:val="left" w:pos="612"/>
              </w:tabs>
              <w:spacing w:line="360" w:lineRule="auto"/>
              <w:jc w:val="center"/>
              <w:rPr>
                <w:rFonts w:ascii="宋体" w:hAnsi="宋体" w:cs="宋体"/>
                <w:color w:val="auto"/>
                <w:sz w:val="21"/>
                <w:szCs w:val="21"/>
                <w:highlight w:val="none"/>
              </w:rPr>
            </w:pPr>
          </w:p>
        </w:tc>
        <w:tc>
          <w:tcPr>
            <w:tcW w:w="5919"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投标文件满足招标文件的实质性条款（即标注★号条款） </w:t>
            </w:r>
          </w:p>
        </w:tc>
        <w:tc>
          <w:tcPr>
            <w:tcW w:w="994"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1"/>
                <w:szCs w:val="21"/>
                <w:highlight w:val="none"/>
              </w:rPr>
            </w:pPr>
          </w:p>
        </w:tc>
        <w:tc>
          <w:tcPr>
            <w:tcW w:w="976"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1"/>
                <w:szCs w:val="21"/>
                <w:highlight w:val="none"/>
              </w:rPr>
            </w:pPr>
          </w:p>
        </w:tc>
        <w:tc>
          <w:tcPr>
            <w:tcW w:w="854"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1114" w:type="dxa"/>
            <w:tcBorders>
              <w:top w:val="single" w:color="auto" w:sz="4" w:space="0"/>
              <w:left w:val="single" w:color="auto" w:sz="12" w:space="0"/>
              <w:bottom w:val="single" w:color="auto" w:sz="4" w:space="0"/>
              <w:right w:val="single" w:color="auto" w:sz="12" w:space="0"/>
            </w:tcBorders>
            <w:vAlign w:val="center"/>
          </w:tcPr>
          <w:p>
            <w:pPr>
              <w:numPr>
                <w:ilvl w:val="0"/>
                <w:numId w:val="26"/>
              </w:numPr>
              <w:tabs>
                <w:tab w:val="left" w:pos="612"/>
              </w:tabs>
              <w:spacing w:line="360" w:lineRule="auto"/>
              <w:jc w:val="center"/>
              <w:rPr>
                <w:rFonts w:ascii="宋体" w:hAnsi="宋体" w:cs="宋体"/>
                <w:color w:val="auto"/>
                <w:sz w:val="21"/>
                <w:szCs w:val="21"/>
                <w:highlight w:val="none"/>
              </w:rPr>
            </w:pPr>
          </w:p>
        </w:tc>
        <w:tc>
          <w:tcPr>
            <w:tcW w:w="5919"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投标文件没有招标文件中规定的被视为投标无效或否决投标的其它条款的；</w:t>
            </w:r>
          </w:p>
        </w:tc>
        <w:tc>
          <w:tcPr>
            <w:tcW w:w="994"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1"/>
                <w:szCs w:val="21"/>
                <w:highlight w:val="none"/>
              </w:rPr>
            </w:pPr>
          </w:p>
        </w:tc>
        <w:tc>
          <w:tcPr>
            <w:tcW w:w="976"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1"/>
                <w:szCs w:val="21"/>
                <w:highlight w:val="none"/>
              </w:rPr>
            </w:pPr>
          </w:p>
        </w:tc>
        <w:tc>
          <w:tcPr>
            <w:tcW w:w="854"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114" w:type="dxa"/>
            <w:tcBorders>
              <w:top w:val="single" w:color="auto" w:sz="4" w:space="0"/>
              <w:left w:val="single" w:color="auto" w:sz="12" w:space="0"/>
              <w:bottom w:val="single" w:color="auto" w:sz="4" w:space="0"/>
              <w:right w:val="single" w:color="auto" w:sz="12" w:space="0"/>
            </w:tcBorders>
            <w:vAlign w:val="center"/>
          </w:tcPr>
          <w:p>
            <w:pPr>
              <w:numPr>
                <w:ilvl w:val="0"/>
                <w:numId w:val="26"/>
              </w:numPr>
              <w:tabs>
                <w:tab w:val="left" w:pos="612"/>
              </w:tabs>
              <w:spacing w:line="360" w:lineRule="auto"/>
              <w:jc w:val="center"/>
              <w:rPr>
                <w:rFonts w:ascii="宋体" w:hAnsi="宋体" w:cs="宋体"/>
                <w:color w:val="auto"/>
                <w:sz w:val="21"/>
                <w:szCs w:val="21"/>
                <w:highlight w:val="none"/>
              </w:rPr>
            </w:pPr>
          </w:p>
        </w:tc>
        <w:tc>
          <w:tcPr>
            <w:tcW w:w="5919"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按有关法律、法规、规章不属于投标无效或否决投标的。</w:t>
            </w:r>
          </w:p>
        </w:tc>
        <w:tc>
          <w:tcPr>
            <w:tcW w:w="994"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1"/>
                <w:szCs w:val="21"/>
                <w:highlight w:val="none"/>
              </w:rPr>
            </w:pPr>
          </w:p>
        </w:tc>
        <w:tc>
          <w:tcPr>
            <w:tcW w:w="976"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1"/>
                <w:szCs w:val="21"/>
                <w:highlight w:val="none"/>
              </w:rPr>
            </w:pPr>
          </w:p>
        </w:tc>
        <w:tc>
          <w:tcPr>
            <w:tcW w:w="854"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7033" w:type="dxa"/>
            <w:gridSpan w:val="2"/>
            <w:tcBorders>
              <w:top w:val="single" w:color="auto" w:sz="4" w:space="0"/>
              <w:left w:val="single" w:color="auto" w:sz="12" w:space="0"/>
              <w:bottom w:val="single" w:color="auto" w:sz="4" w:space="0"/>
              <w:right w:val="single" w:color="auto" w:sz="12"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结论</w:t>
            </w:r>
          </w:p>
        </w:tc>
        <w:tc>
          <w:tcPr>
            <w:tcW w:w="994"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1"/>
                <w:szCs w:val="21"/>
                <w:highlight w:val="none"/>
              </w:rPr>
            </w:pPr>
          </w:p>
        </w:tc>
        <w:tc>
          <w:tcPr>
            <w:tcW w:w="976"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1"/>
                <w:szCs w:val="21"/>
                <w:highlight w:val="none"/>
              </w:rPr>
            </w:pPr>
          </w:p>
        </w:tc>
        <w:tc>
          <w:tcPr>
            <w:tcW w:w="854"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114" w:type="dxa"/>
            <w:tcBorders>
              <w:top w:val="single" w:color="auto" w:sz="4" w:space="0"/>
              <w:left w:val="single" w:color="auto" w:sz="12" w:space="0"/>
              <w:bottom w:val="single" w:color="auto" w:sz="4" w:space="0"/>
              <w:right w:val="single" w:color="auto" w:sz="12"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不通过原因说明</w:t>
            </w:r>
          </w:p>
        </w:tc>
        <w:tc>
          <w:tcPr>
            <w:tcW w:w="5919" w:type="dxa"/>
            <w:tcBorders>
              <w:top w:val="single" w:color="auto" w:sz="4" w:space="0"/>
              <w:left w:val="single" w:color="auto" w:sz="12" w:space="0"/>
              <w:bottom w:val="single" w:color="auto" w:sz="4" w:space="0"/>
              <w:right w:val="single" w:color="auto" w:sz="12" w:space="0"/>
            </w:tcBorders>
            <w:vAlign w:val="center"/>
          </w:tcPr>
          <w:p>
            <w:pPr>
              <w:spacing w:line="360" w:lineRule="auto"/>
              <w:jc w:val="center"/>
              <w:rPr>
                <w:rFonts w:ascii="宋体" w:hAnsi="宋体" w:cs="宋体"/>
                <w:color w:val="auto"/>
                <w:sz w:val="21"/>
                <w:szCs w:val="21"/>
                <w:highlight w:val="none"/>
              </w:rPr>
            </w:pPr>
          </w:p>
        </w:tc>
        <w:tc>
          <w:tcPr>
            <w:tcW w:w="994"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1"/>
                <w:szCs w:val="21"/>
                <w:highlight w:val="none"/>
              </w:rPr>
            </w:pPr>
          </w:p>
        </w:tc>
        <w:tc>
          <w:tcPr>
            <w:tcW w:w="976"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1"/>
                <w:szCs w:val="21"/>
                <w:highlight w:val="none"/>
              </w:rPr>
            </w:pPr>
          </w:p>
        </w:tc>
        <w:tc>
          <w:tcPr>
            <w:tcW w:w="854"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1"/>
                <w:szCs w:val="21"/>
                <w:highlight w:val="none"/>
              </w:rPr>
            </w:pPr>
          </w:p>
        </w:tc>
      </w:tr>
    </w:tbl>
    <w:p>
      <w:pPr>
        <w:snapToGrid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备注：投标人必须严格按照资格、符合性评审条款的要求如实提供证明材料，对缺漏或不符合项将直接导致投标无效。不通过资格、符合性审查的投标人，不进入技术商务、价格评审。</w:t>
      </w:r>
    </w:p>
    <w:p>
      <w:pPr>
        <w:snapToGrid w:val="0"/>
        <w:spacing w:line="360" w:lineRule="auto"/>
        <w:ind w:left="398" w:leftChars="199"/>
        <w:jc w:val="both"/>
        <w:rPr>
          <w:rFonts w:ascii="宋体" w:hAnsi="宋体" w:cs="宋体"/>
          <w:color w:val="auto"/>
          <w:sz w:val="21"/>
          <w:szCs w:val="21"/>
          <w:highlight w:val="none"/>
        </w:rPr>
      </w:pPr>
      <w:r>
        <w:rPr>
          <w:rFonts w:hint="eastAsia" w:ascii="宋体" w:hAnsi="宋体" w:cs="宋体"/>
          <w:color w:val="auto"/>
          <w:sz w:val="21"/>
          <w:szCs w:val="21"/>
          <w:highlight w:val="none"/>
        </w:rPr>
        <w:t>1．评审时评委对投标人是否满足要求逐条标注评审意见，“是”标记为“○”，“否”标记为“×”；</w:t>
      </w:r>
    </w:p>
    <w:p>
      <w:pPr>
        <w:snapToGrid w:val="0"/>
        <w:spacing w:line="360" w:lineRule="auto"/>
        <w:ind w:left="398" w:leftChars="199"/>
        <w:jc w:val="both"/>
        <w:rPr>
          <w:rFonts w:ascii="宋体" w:hAnsi="宋体" w:cs="宋体"/>
          <w:color w:val="auto"/>
          <w:sz w:val="21"/>
          <w:szCs w:val="21"/>
          <w:highlight w:val="none"/>
        </w:rPr>
      </w:pPr>
      <w:r>
        <w:rPr>
          <w:rFonts w:hint="eastAsia" w:ascii="宋体" w:hAnsi="宋体" w:cs="宋体"/>
          <w:color w:val="auto"/>
          <w:sz w:val="21"/>
          <w:szCs w:val="21"/>
          <w:highlight w:val="none"/>
        </w:rPr>
        <w:t>2．评审结论栏统一填写为“通过”或“不通过” ，出现一个“×”为“不通过”；</w:t>
      </w:r>
    </w:p>
    <w:p>
      <w:pPr>
        <w:snapToGrid w:val="0"/>
        <w:spacing w:line="360" w:lineRule="auto"/>
        <w:ind w:left="398" w:leftChars="199"/>
        <w:jc w:val="both"/>
        <w:rPr>
          <w:rFonts w:ascii="宋体" w:hAnsi="宋体" w:cs="宋体"/>
          <w:color w:val="auto"/>
          <w:sz w:val="21"/>
          <w:szCs w:val="21"/>
          <w:highlight w:val="none"/>
        </w:rPr>
      </w:pPr>
      <w:r>
        <w:rPr>
          <w:rFonts w:hint="eastAsia" w:ascii="宋体" w:hAnsi="宋体" w:cs="宋体"/>
          <w:color w:val="auto"/>
          <w:sz w:val="21"/>
          <w:szCs w:val="21"/>
          <w:highlight w:val="none"/>
        </w:rPr>
        <w:t>3．对结论为“不通过”的投标，要说明原因。</w:t>
      </w:r>
    </w:p>
    <w:p>
      <w:pPr>
        <w:snapToGrid w:val="0"/>
        <w:spacing w:before="156" w:beforeLines="50" w:after="156" w:afterLines="50"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评委签名：                                                            日期：</w:t>
      </w:r>
      <w:r>
        <w:rPr>
          <w:rFonts w:hint="eastAsia" w:ascii="宋体" w:hAnsi="宋体" w:cs="Arial"/>
          <w:color w:val="auto"/>
          <w:szCs w:val="21"/>
          <w:highlight w:val="none"/>
        </w:rPr>
        <w:t xml:space="preserve"> </w:t>
      </w:r>
    </w:p>
    <w:p>
      <w:pPr>
        <w:snapToGrid w:val="0"/>
        <w:spacing w:before="156" w:beforeLines="50" w:after="156" w:afterLines="50" w:line="360" w:lineRule="auto"/>
        <w:jc w:val="both"/>
        <w:rPr>
          <w:rFonts w:ascii="宋体" w:hAnsi="宋体" w:cs="宋体"/>
          <w:color w:val="auto"/>
          <w:sz w:val="21"/>
          <w:szCs w:val="21"/>
          <w:highlight w:val="none"/>
          <w:u w:val="single"/>
        </w:rPr>
      </w:pPr>
    </w:p>
    <w:p>
      <w:pPr>
        <w:rPr>
          <w:rFonts w:ascii="宋体" w:hAnsi="宋体" w:cs="宋体"/>
          <w:color w:val="auto"/>
          <w:sz w:val="22"/>
          <w:szCs w:val="22"/>
          <w:highlight w:val="none"/>
        </w:rPr>
        <w:sectPr>
          <w:pgSz w:w="11906" w:h="16838"/>
          <w:pgMar w:top="1134" w:right="1134" w:bottom="1134" w:left="1134" w:header="851" w:footer="725" w:gutter="0"/>
          <w:pgNumType w:fmt="decimal"/>
          <w:cols w:space="720" w:num="1"/>
          <w:titlePg/>
          <w:docGrid w:type="lines" w:linePitch="312" w:charSpace="0"/>
        </w:sectPr>
      </w:pPr>
    </w:p>
    <w:p>
      <w:pPr>
        <w:rPr>
          <w:rFonts w:ascii="宋体" w:hAnsi="宋体" w:cs="宋体"/>
          <w:color w:val="auto"/>
          <w:sz w:val="28"/>
          <w:szCs w:val="28"/>
          <w:highlight w:val="none"/>
        </w:rPr>
      </w:pPr>
      <w:r>
        <w:rPr>
          <w:rFonts w:hint="eastAsia" w:ascii="宋体" w:hAnsi="宋体" w:cs="宋体"/>
          <w:color w:val="auto"/>
          <w:sz w:val="22"/>
          <w:szCs w:val="22"/>
          <w:highlight w:val="none"/>
        </w:rPr>
        <w:t>附表2：</w:t>
      </w:r>
    </w:p>
    <w:p>
      <w:pPr>
        <w:snapToGri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技术商务评分表</w:t>
      </w:r>
    </w:p>
    <w:p>
      <w:pPr>
        <w:spacing w:line="360" w:lineRule="auto"/>
        <w:ind w:firstLine="105" w:firstLineChars="50"/>
        <w:rPr>
          <w:rFonts w:ascii="宋体" w:hAnsi="宋体" w:cs="宋体"/>
          <w:color w:val="auto"/>
          <w:sz w:val="21"/>
          <w:szCs w:val="21"/>
          <w:highlight w:val="none"/>
        </w:rPr>
      </w:pPr>
      <w:r>
        <w:rPr>
          <w:rFonts w:hint="eastAsia" w:ascii="宋体" w:hAnsi="宋体" w:cs="宋体"/>
          <w:color w:val="auto"/>
          <w:sz w:val="21"/>
          <w:szCs w:val="21"/>
          <w:highlight w:val="none"/>
        </w:rPr>
        <w:t>项目名称：中山市火炬科学技术学校小卖部承包经营项目</w:t>
      </w:r>
    </w:p>
    <w:p>
      <w:pPr>
        <w:spacing w:line="360" w:lineRule="auto"/>
        <w:ind w:firstLine="105" w:firstLineChars="50"/>
        <w:rPr>
          <w:rFonts w:ascii="宋体" w:hAnsi="宋体" w:cs="宋体"/>
          <w:color w:val="auto"/>
          <w:sz w:val="21"/>
          <w:szCs w:val="21"/>
          <w:highlight w:val="none"/>
        </w:rPr>
      </w:pPr>
      <w:r>
        <w:rPr>
          <w:rFonts w:hint="eastAsia" w:ascii="宋体" w:hAnsi="宋体" w:cs="宋体"/>
          <w:color w:val="auto"/>
          <w:sz w:val="21"/>
          <w:szCs w:val="21"/>
          <w:highlight w:val="none"/>
        </w:rPr>
        <w:t>项目编号：FH2022CG0113</w:t>
      </w:r>
    </w:p>
    <w:tbl>
      <w:tblPr>
        <w:tblStyle w:val="20"/>
        <w:tblW w:w="979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7"/>
        <w:gridCol w:w="1163"/>
        <w:gridCol w:w="776"/>
        <w:gridCol w:w="6614"/>
        <w:gridCol w:w="7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9" w:hRule="atLeast"/>
          <w:tblHeader/>
        </w:trPr>
        <w:tc>
          <w:tcPr>
            <w:tcW w:w="487" w:type="dxa"/>
            <w:tcBorders>
              <w:top w:val="single" w:color="auto" w:sz="6" w:space="0"/>
              <w:left w:val="single" w:color="auto" w:sz="6" w:space="0"/>
              <w:bottom w:val="single" w:color="auto" w:sz="4" w:space="0"/>
              <w:right w:val="single" w:color="auto" w:sz="6" w:space="0"/>
            </w:tcBorders>
            <w:shd w:val="clear" w:color="auto" w:fill="FFFFFF"/>
            <w:vAlign w:val="center"/>
          </w:tcPr>
          <w:p>
            <w:pP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163" w:type="dxa"/>
            <w:tcBorders>
              <w:top w:val="single" w:color="auto" w:sz="6" w:space="0"/>
              <w:left w:val="single" w:color="auto" w:sz="6" w:space="0"/>
              <w:bottom w:val="single" w:color="auto" w:sz="4" w:space="0"/>
              <w:right w:val="single" w:color="auto" w:sz="6" w:space="0"/>
            </w:tcBorders>
            <w:shd w:val="clear" w:color="auto" w:fill="FFFFFF"/>
            <w:vAlign w:val="center"/>
          </w:tcPr>
          <w:p>
            <w:pPr>
              <w:jc w:val="center"/>
              <w:rPr>
                <w:rFonts w:ascii="宋体" w:hAnsi="宋体" w:cs="宋体"/>
                <w:color w:val="auto"/>
                <w:sz w:val="21"/>
                <w:szCs w:val="21"/>
                <w:highlight w:val="none"/>
              </w:rPr>
            </w:pPr>
            <w:r>
              <w:rPr>
                <w:rFonts w:hint="eastAsia" w:ascii="宋体" w:hAnsi="宋体" w:cs="宋体"/>
                <w:b/>
                <w:color w:val="auto"/>
                <w:sz w:val="21"/>
                <w:szCs w:val="21"/>
                <w:highlight w:val="none"/>
              </w:rPr>
              <w:t>评审项目</w:t>
            </w:r>
          </w:p>
        </w:tc>
        <w:tc>
          <w:tcPr>
            <w:tcW w:w="776" w:type="dxa"/>
            <w:tcBorders>
              <w:top w:val="single" w:color="auto" w:sz="6" w:space="0"/>
              <w:left w:val="single" w:color="auto" w:sz="6" w:space="0"/>
              <w:bottom w:val="single" w:color="auto" w:sz="4" w:space="0"/>
              <w:right w:val="single" w:color="auto" w:sz="6" w:space="0"/>
            </w:tcBorders>
            <w:shd w:val="clear" w:color="auto" w:fill="FFFFFF"/>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分配</w:t>
            </w:r>
          </w:p>
          <w:p>
            <w:pPr>
              <w:jc w:val="center"/>
              <w:rPr>
                <w:rFonts w:ascii="宋体" w:hAnsi="宋体" w:cs="宋体"/>
                <w:color w:val="auto"/>
                <w:sz w:val="21"/>
                <w:szCs w:val="21"/>
                <w:highlight w:val="none"/>
              </w:rPr>
            </w:pPr>
            <w:r>
              <w:rPr>
                <w:rFonts w:hint="eastAsia" w:ascii="宋体" w:hAnsi="宋体" w:cs="宋体"/>
                <w:b/>
                <w:color w:val="auto"/>
                <w:sz w:val="21"/>
                <w:szCs w:val="21"/>
                <w:highlight w:val="none"/>
              </w:rPr>
              <w:t>分数</w:t>
            </w:r>
          </w:p>
        </w:tc>
        <w:tc>
          <w:tcPr>
            <w:tcW w:w="6614" w:type="dxa"/>
            <w:tcBorders>
              <w:top w:val="single" w:color="auto" w:sz="6" w:space="0"/>
              <w:left w:val="single" w:color="auto" w:sz="6" w:space="0"/>
              <w:bottom w:val="single" w:color="auto" w:sz="6" w:space="0"/>
              <w:right w:val="single" w:color="auto" w:sz="4" w:space="0"/>
            </w:tcBorders>
            <w:shd w:val="clear" w:color="auto" w:fill="FFFFFF"/>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评议内容</w:t>
            </w:r>
          </w:p>
        </w:tc>
        <w:tc>
          <w:tcPr>
            <w:tcW w:w="758" w:type="dxa"/>
            <w:tcBorders>
              <w:top w:val="single" w:color="auto" w:sz="6" w:space="0"/>
              <w:left w:val="single" w:color="auto" w:sz="4" w:space="0"/>
              <w:bottom w:val="single" w:color="auto" w:sz="6" w:space="0"/>
              <w:right w:val="single" w:color="auto" w:sz="6" w:space="0"/>
            </w:tcBorders>
            <w:shd w:val="clear" w:color="auto" w:fill="FFFFFF"/>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A投标人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59" w:hRule="atLeast"/>
        </w:trPr>
        <w:tc>
          <w:tcPr>
            <w:tcW w:w="48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163" w:type="dxa"/>
            <w:tcBorders>
              <w:top w:val="single" w:color="auto" w:sz="4"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lang w:bidi="ar"/>
              </w:rPr>
              <w:t>用户需求响应程度</w:t>
            </w:r>
          </w:p>
        </w:tc>
        <w:tc>
          <w:tcPr>
            <w:tcW w:w="776" w:type="dxa"/>
            <w:tcBorders>
              <w:top w:val="single" w:color="auto" w:sz="4"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6614" w:type="dxa"/>
            <w:tcBorders>
              <w:top w:val="single" w:color="auto" w:sz="6" w:space="0"/>
              <w:left w:val="single" w:color="auto" w:sz="6" w:space="0"/>
              <w:bottom w:val="single" w:color="auto" w:sz="6" w:space="0"/>
              <w:right w:val="single" w:color="auto" w:sz="4" w:space="0"/>
            </w:tcBorders>
            <w:shd w:val="clear" w:color="auto" w:fill="FFFFFF"/>
            <w:vAlign w:val="center"/>
          </w:tcPr>
          <w:p>
            <w:pPr>
              <w:rPr>
                <w:rFonts w:ascii="宋体" w:hAnsi="宋体" w:cs="宋体"/>
                <w:b/>
                <w:color w:val="auto"/>
                <w:sz w:val="21"/>
                <w:szCs w:val="21"/>
                <w:highlight w:val="none"/>
              </w:rPr>
            </w:pPr>
            <w:r>
              <w:rPr>
                <w:rFonts w:hint="eastAsia" w:ascii="宋体" w:hAnsi="宋体" w:cs="宋体"/>
                <w:color w:val="auto"/>
                <w:sz w:val="21"/>
                <w:szCs w:val="21"/>
                <w:highlight w:val="none"/>
                <w:lang w:bidi="ar"/>
              </w:rPr>
              <w:t>1.对招标文件用户需求各条款的响应非常全面，符合招标文件要求，得5分；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2.对招标文件用户需求各条款的响应全面，符合招标文件要求，得3分；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3.对招标文件用户需求各条款的响应不全面，基本满足招标文件要求，得2分；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4.对招标文件用户需求各条款的响应较差，只有部分满足招标文件要求，得1分。</w:t>
            </w:r>
          </w:p>
        </w:tc>
        <w:tc>
          <w:tcPr>
            <w:tcW w:w="758" w:type="dxa"/>
            <w:tcBorders>
              <w:top w:val="single" w:color="auto" w:sz="6" w:space="0"/>
              <w:left w:val="single" w:color="auto" w:sz="4" w:space="0"/>
              <w:bottom w:val="single" w:color="auto" w:sz="6" w:space="0"/>
              <w:right w:val="single" w:color="auto" w:sz="6" w:space="0"/>
            </w:tcBorders>
            <w:shd w:val="clear" w:color="auto" w:fill="FFFFFF"/>
            <w:vAlign w:val="center"/>
          </w:tcPr>
          <w:p>
            <w:pPr>
              <w:rPr>
                <w:rFonts w:ascii="宋体" w:hAnsi="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13" w:hRule="atLeast"/>
        </w:trPr>
        <w:tc>
          <w:tcPr>
            <w:tcW w:w="48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163" w:type="dxa"/>
            <w:tcBorders>
              <w:top w:val="single" w:color="auto" w:sz="4" w:space="0"/>
              <w:left w:val="single" w:color="auto" w:sz="6" w:space="0"/>
              <w:right w:val="single" w:color="auto" w:sz="6" w:space="0"/>
            </w:tcBorders>
            <w:shd w:val="clear" w:color="auto"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lang w:bidi="ar"/>
              </w:rPr>
              <w:t>履约能力</w:t>
            </w:r>
          </w:p>
        </w:tc>
        <w:tc>
          <w:tcPr>
            <w:tcW w:w="776" w:type="dxa"/>
            <w:tcBorders>
              <w:top w:val="single" w:color="auto" w:sz="4"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6614" w:type="dxa"/>
            <w:tcBorders>
              <w:top w:val="single" w:color="auto" w:sz="6" w:space="0"/>
              <w:left w:val="single" w:color="auto" w:sz="6" w:space="0"/>
              <w:bottom w:val="single" w:color="auto" w:sz="6" w:space="0"/>
              <w:right w:val="single" w:color="auto" w:sz="4" w:space="0"/>
            </w:tcBorders>
            <w:shd w:val="clear" w:color="auto" w:fill="FFFFFF"/>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lang w:bidi="ar"/>
              </w:rPr>
              <w:t>投标人具有有效的质量管理体系认证、</w:t>
            </w:r>
            <w:r>
              <w:rPr>
                <w:rFonts w:hint="eastAsia" w:ascii="宋体" w:hAnsi="宋体" w:cs="宋体"/>
                <w:color w:val="auto"/>
                <w:sz w:val="21"/>
                <w:szCs w:val="21"/>
                <w:highlight w:val="none"/>
                <w:lang w:val="en-US" w:eastAsia="zh-CN" w:bidi="ar"/>
              </w:rPr>
              <w:t>环境管理体系认证、食品安全管理体系认证、售后服务认证证书、危害分析与关键控制点体系认证</w:t>
            </w:r>
            <w:r>
              <w:rPr>
                <w:rFonts w:hint="eastAsia" w:ascii="宋体" w:hAnsi="宋体" w:cs="宋体"/>
                <w:color w:val="auto"/>
                <w:sz w:val="21"/>
                <w:szCs w:val="21"/>
                <w:highlight w:val="none"/>
                <w:lang w:bidi="ar"/>
              </w:rPr>
              <w:t>，每获得一项得2分，满分10分。（投标文件中需提供相关证明资料复印件并加盖供应商公章）</w:t>
            </w:r>
          </w:p>
        </w:tc>
        <w:tc>
          <w:tcPr>
            <w:tcW w:w="758" w:type="dxa"/>
            <w:tcBorders>
              <w:top w:val="single" w:color="auto" w:sz="6" w:space="0"/>
              <w:left w:val="single" w:color="auto" w:sz="4" w:space="0"/>
              <w:bottom w:val="single" w:color="auto" w:sz="6" w:space="0"/>
              <w:right w:val="single" w:color="auto" w:sz="6" w:space="0"/>
            </w:tcBorders>
            <w:shd w:val="clear" w:color="auto" w:fill="FFFFFF"/>
            <w:vAlign w:val="center"/>
          </w:tcPr>
          <w:p>
            <w:pPr>
              <w:rPr>
                <w:rFonts w:ascii="宋体" w:hAnsi="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82" w:hRule="atLeast"/>
        </w:trPr>
        <w:tc>
          <w:tcPr>
            <w:tcW w:w="48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163" w:type="dxa"/>
            <w:tcBorders>
              <w:top w:val="single" w:color="auto" w:sz="4" w:space="0"/>
              <w:left w:val="single" w:color="auto" w:sz="6" w:space="0"/>
              <w:right w:val="single" w:color="auto" w:sz="6" w:space="0"/>
            </w:tcBorders>
            <w:shd w:val="clear" w:color="auto" w:fill="FFFFFF"/>
            <w:vAlign w:val="center"/>
          </w:tcPr>
          <w:p>
            <w:pPr>
              <w:widowControl/>
              <w:jc w:val="center"/>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项目经验</w:t>
            </w:r>
          </w:p>
        </w:tc>
        <w:tc>
          <w:tcPr>
            <w:tcW w:w="776" w:type="dxa"/>
            <w:tcBorders>
              <w:top w:val="single" w:color="auto" w:sz="4"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val="en-US" w:eastAsia="zh-CN" w:bidi="ar"/>
              </w:rPr>
              <w:t>6</w:t>
            </w:r>
          </w:p>
        </w:tc>
        <w:tc>
          <w:tcPr>
            <w:tcW w:w="6614" w:type="dxa"/>
            <w:tcBorders>
              <w:top w:val="single" w:color="auto" w:sz="6" w:space="0"/>
              <w:left w:val="single" w:color="auto" w:sz="6" w:space="0"/>
              <w:bottom w:val="single" w:color="auto" w:sz="6" w:space="0"/>
              <w:right w:val="single" w:color="auto" w:sz="4" w:space="0"/>
            </w:tcBorders>
            <w:shd w:val="clear" w:color="auto" w:fill="FFFFFF"/>
            <w:vAlign w:val="center"/>
          </w:tcPr>
          <w:p>
            <w:pPr>
              <w:widowControl/>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2018年1月1日以来具有经营同类型项目的业绩情况，具有一项得2分，满分</w:t>
            </w:r>
            <w:r>
              <w:rPr>
                <w:rFonts w:hint="eastAsia" w:ascii="宋体" w:hAnsi="宋体" w:cs="宋体"/>
                <w:color w:val="auto"/>
                <w:sz w:val="21"/>
                <w:szCs w:val="21"/>
                <w:highlight w:val="none"/>
                <w:lang w:val="en-US" w:eastAsia="zh-CN" w:bidi="ar"/>
              </w:rPr>
              <w:t>6</w:t>
            </w:r>
            <w:r>
              <w:rPr>
                <w:rFonts w:hint="eastAsia" w:ascii="宋体" w:hAnsi="宋体" w:cs="宋体"/>
                <w:color w:val="auto"/>
                <w:sz w:val="21"/>
                <w:szCs w:val="21"/>
                <w:highlight w:val="none"/>
                <w:lang w:bidi="ar"/>
              </w:rPr>
              <w:t>分。（投标文件中提供合同复印件或招标人证明文件加盖公章。）</w:t>
            </w:r>
          </w:p>
        </w:tc>
        <w:tc>
          <w:tcPr>
            <w:tcW w:w="758" w:type="dxa"/>
            <w:tcBorders>
              <w:top w:val="single" w:color="auto" w:sz="6" w:space="0"/>
              <w:left w:val="single" w:color="auto" w:sz="4" w:space="0"/>
              <w:bottom w:val="single" w:color="auto" w:sz="6" w:space="0"/>
              <w:right w:val="single" w:color="auto" w:sz="6" w:space="0"/>
            </w:tcBorders>
            <w:shd w:val="clear" w:color="auto" w:fill="FFFFFF"/>
            <w:vAlign w:val="center"/>
          </w:tcPr>
          <w:p>
            <w:pPr>
              <w:rPr>
                <w:rFonts w:ascii="宋体" w:hAnsi="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48" w:hRule="atLeast"/>
        </w:trPr>
        <w:tc>
          <w:tcPr>
            <w:tcW w:w="48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163" w:type="dxa"/>
            <w:tcBorders>
              <w:left w:val="single" w:color="auto" w:sz="6" w:space="0"/>
              <w:bottom w:val="single" w:color="auto" w:sz="6" w:space="0"/>
              <w:right w:val="single" w:color="auto" w:sz="6" w:space="0"/>
            </w:tcBorders>
            <w:shd w:val="clear" w:color="auto" w:fill="FFFFFF"/>
            <w:vAlign w:val="center"/>
          </w:tcPr>
          <w:p>
            <w:pPr>
              <w:pStyle w:val="16"/>
              <w:ind w:right="62" w:rightChars="31"/>
              <w:rPr>
                <w:rFonts w:cs="宋体"/>
                <w:color w:val="auto"/>
                <w:sz w:val="21"/>
                <w:szCs w:val="21"/>
                <w:highlight w:val="none"/>
                <w:lang w:bidi="ar"/>
              </w:rPr>
            </w:pPr>
            <w:r>
              <w:rPr>
                <w:rFonts w:hint="eastAsia" w:cs="宋体"/>
                <w:color w:val="auto"/>
                <w:kern w:val="0"/>
                <w:sz w:val="21"/>
                <w:szCs w:val="21"/>
                <w:highlight w:val="none"/>
                <w:lang w:bidi="ar"/>
              </w:rPr>
              <w:t>货源</w:t>
            </w:r>
            <w:r>
              <w:rPr>
                <w:rFonts w:hint="eastAsia" w:cs="宋体"/>
                <w:color w:val="auto"/>
                <w:sz w:val="21"/>
                <w:szCs w:val="21"/>
                <w:highlight w:val="none"/>
                <w:lang w:bidi="ar"/>
              </w:rPr>
              <w:t>（进货渠道）</w:t>
            </w:r>
          </w:p>
        </w:tc>
        <w:tc>
          <w:tcPr>
            <w:tcW w:w="776" w:type="dxa"/>
            <w:tcBorders>
              <w:top w:val="single" w:color="auto" w:sz="4"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10</w:t>
            </w:r>
          </w:p>
        </w:tc>
        <w:tc>
          <w:tcPr>
            <w:tcW w:w="6614" w:type="dxa"/>
            <w:tcBorders>
              <w:top w:val="single" w:color="auto" w:sz="6" w:space="0"/>
              <w:left w:val="single" w:color="auto" w:sz="6" w:space="0"/>
              <w:bottom w:val="single" w:color="auto" w:sz="6" w:space="0"/>
              <w:right w:val="single" w:color="auto" w:sz="4" w:space="0"/>
            </w:tcBorders>
            <w:shd w:val="clear" w:color="auto" w:fill="FFFFFF"/>
            <w:vAlign w:val="center"/>
          </w:tcPr>
          <w:p>
            <w:pP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投标人有与食品生产厂家或代理商签订供货协议情况，投标文件中提供相关资料证明复印件加盖公章。</w:t>
            </w:r>
          </w:p>
          <w:p>
            <w:pP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1.食品生产厂家或代理商丰富多样，供货产品种类齐全，完全满足招标文件要求得10分；</w:t>
            </w:r>
          </w:p>
          <w:p>
            <w:pP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2.食品生产厂家或代理商较多，供货产品种类较齐全，较能满足招标文件要求得7分；</w:t>
            </w:r>
          </w:p>
          <w:p>
            <w:pP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3.食品生产厂家或代理商较少，供货产品种类基本齐全，基本满足招标文件要求得4分；</w:t>
            </w:r>
          </w:p>
          <w:p>
            <w:pPr>
              <w:rPr>
                <w:color w:val="auto"/>
                <w:highlight w:val="none"/>
                <w:lang w:bidi="ar"/>
              </w:rPr>
            </w:pPr>
            <w:r>
              <w:rPr>
                <w:rFonts w:hint="eastAsia" w:ascii="宋体" w:hAnsi="宋体" w:cs="宋体"/>
                <w:color w:val="auto"/>
                <w:sz w:val="21"/>
                <w:szCs w:val="21"/>
                <w:highlight w:val="none"/>
                <w:lang w:bidi="ar"/>
              </w:rPr>
              <w:t>4.食品生产厂家或代理商少，供货产品种类少，供货产品覆盖面低，不能满足招标文件要求得1分；</w:t>
            </w:r>
          </w:p>
        </w:tc>
        <w:tc>
          <w:tcPr>
            <w:tcW w:w="758" w:type="dxa"/>
            <w:tcBorders>
              <w:top w:val="single" w:color="auto" w:sz="6" w:space="0"/>
              <w:left w:val="single" w:color="auto" w:sz="4" w:space="0"/>
              <w:bottom w:val="single" w:color="auto" w:sz="6" w:space="0"/>
              <w:right w:val="single" w:color="auto" w:sz="6" w:space="0"/>
            </w:tcBorders>
            <w:shd w:val="clear" w:color="auto" w:fill="FFFFFF"/>
            <w:vAlign w:val="center"/>
          </w:tcPr>
          <w:p>
            <w:pPr>
              <w:rPr>
                <w:rFonts w:ascii="宋体" w:hAnsi="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24" w:hRule="atLeast"/>
        </w:trPr>
        <w:tc>
          <w:tcPr>
            <w:tcW w:w="487" w:type="dxa"/>
            <w:tcBorders>
              <w:top w:val="single" w:color="auto" w:sz="6" w:space="0"/>
              <w:left w:val="single" w:color="auto" w:sz="6" w:space="0"/>
              <w:right w:val="single" w:color="auto" w:sz="6" w:space="0"/>
            </w:tcBorders>
            <w:shd w:val="clear" w:color="auto"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163" w:type="dxa"/>
            <w:tcBorders>
              <w:top w:val="single" w:color="auto" w:sz="4" w:space="0"/>
              <w:left w:val="single" w:color="auto" w:sz="6" w:space="0"/>
              <w:right w:val="single" w:color="auto" w:sz="6" w:space="0"/>
            </w:tcBorders>
            <w:shd w:val="clear" w:color="auto" w:fill="FFFFFF"/>
            <w:vAlign w:val="center"/>
          </w:tcPr>
          <w:p>
            <w:pPr>
              <w:pStyle w:val="15"/>
              <w:spacing w:before="0" w:beforeAutospacing="0" w:after="0" w:afterAutospacing="0" w:line="260" w:lineRule="exact"/>
              <w:jc w:val="center"/>
              <w:rPr>
                <w:rFonts w:cs="宋体"/>
                <w:color w:val="auto"/>
                <w:kern w:val="2"/>
                <w:sz w:val="21"/>
                <w:szCs w:val="21"/>
                <w:highlight w:val="none"/>
              </w:rPr>
            </w:pPr>
            <w:r>
              <w:rPr>
                <w:rFonts w:hint="eastAsia" w:cs="宋体"/>
                <w:color w:val="auto"/>
                <w:sz w:val="21"/>
                <w:szCs w:val="21"/>
                <w:highlight w:val="none"/>
                <w:lang w:bidi="ar"/>
              </w:rPr>
              <w:t>企业信用</w:t>
            </w:r>
          </w:p>
        </w:tc>
        <w:tc>
          <w:tcPr>
            <w:tcW w:w="776" w:type="dxa"/>
            <w:tcBorders>
              <w:top w:val="single" w:color="auto" w:sz="4"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val="en-US" w:eastAsia="zh-CN" w:bidi="ar"/>
              </w:rPr>
              <w:t>6</w:t>
            </w:r>
          </w:p>
        </w:tc>
        <w:tc>
          <w:tcPr>
            <w:tcW w:w="6614" w:type="dxa"/>
            <w:tcBorders>
              <w:top w:val="single" w:color="auto" w:sz="6" w:space="0"/>
              <w:left w:val="single" w:color="auto" w:sz="6" w:space="0"/>
              <w:bottom w:val="single" w:color="auto" w:sz="6" w:space="0"/>
              <w:right w:val="single" w:color="auto" w:sz="4" w:space="0"/>
            </w:tcBorders>
            <w:shd w:val="clear" w:color="auto" w:fill="FFFFFF"/>
            <w:vAlign w:val="center"/>
          </w:tcPr>
          <w:p>
            <w:pP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投标人提供由中国人民银行征信中心或合法第三方信用服务机构出具的有效的企业信用报告或信用记录的，得</w:t>
            </w:r>
            <w:r>
              <w:rPr>
                <w:rFonts w:hint="eastAsia" w:ascii="宋体" w:hAnsi="宋体" w:cs="宋体"/>
                <w:color w:val="auto"/>
                <w:sz w:val="21"/>
                <w:szCs w:val="21"/>
                <w:highlight w:val="none"/>
                <w:lang w:val="en-US" w:eastAsia="zh-CN" w:bidi="ar"/>
              </w:rPr>
              <w:t>6</w:t>
            </w:r>
            <w:r>
              <w:rPr>
                <w:rFonts w:hint="eastAsia" w:ascii="宋体" w:hAnsi="宋体" w:cs="宋体"/>
                <w:color w:val="auto"/>
                <w:sz w:val="21"/>
                <w:szCs w:val="21"/>
                <w:highlight w:val="none"/>
                <w:lang w:bidi="ar"/>
              </w:rPr>
              <w:t>分，没有不得分。【注：以提供中国人民银行征信中心或合法的第三方信用服务机构出具的信用记录或信用报告为准；第三方信用服务机构是指按照相关法律法规的规定在的监管部门或行业主管部门（中国人民银行等部门）进行备案的机构，出具信用报告或记录时须附信用服务机构的备案证明（中国人民银行征信中心出具信用报告或记录的，不需要附备案证明），没有备案证明不得分。投标文件中提供相关复印件加盖投标人公章。】</w:t>
            </w:r>
          </w:p>
        </w:tc>
        <w:tc>
          <w:tcPr>
            <w:tcW w:w="758" w:type="dxa"/>
            <w:tcBorders>
              <w:top w:val="single" w:color="auto" w:sz="6" w:space="0"/>
              <w:left w:val="single" w:color="auto" w:sz="4" w:space="0"/>
              <w:bottom w:val="single" w:color="auto" w:sz="6" w:space="0"/>
              <w:right w:val="single" w:color="auto" w:sz="6" w:space="0"/>
            </w:tcBorders>
            <w:shd w:val="clear" w:color="auto" w:fill="FFFFFF"/>
            <w:vAlign w:val="center"/>
          </w:tcPr>
          <w:p>
            <w:pPr>
              <w:rPr>
                <w:rFonts w:ascii="宋体" w:hAnsi="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30" w:hRule="atLeast"/>
        </w:trPr>
        <w:tc>
          <w:tcPr>
            <w:tcW w:w="48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163" w:type="dxa"/>
            <w:tcBorders>
              <w:top w:val="single" w:color="auto" w:sz="4" w:space="0"/>
              <w:left w:val="single" w:color="auto" w:sz="6" w:space="0"/>
              <w:bottom w:val="single" w:color="auto" w:sz="6" w:space="0"/>
              <w:right w:val="single" w:color="auto" w:sz="6" w:space="0"/>
            </w:tcBorders>
            <w:shd w:val="clear" w:color="auto" w:fill="FFFFFF"/>
            <w:vAlign w:val="center"/>
          </w:tcPr>
          <w:p>
            <w:pPr>
              <w:pStyle w:val="15"/>
              <w:spacing w:line="260" w:lineRule="exact"/>
              <w:jc w:val="center"/>
              <w:rPr>
                <w:rFonts w:cs="宋体"/>
                <w:color w:val="auto"/>
                <w:sz w:val="21"/>
                <w:szCs w:val="21"/>
                <w:highlight w:val="none"/>
                <w:lang w:bidi="ar"/>
              </w:rPr>
            </w:pPr>
            <w:r>
              <w:rPr>
                <w:rFonts w:hint="eastAsia" w:cs="宋体"/>
                <w:color w:val="auto"/>
                <w:sz w:val="21"/>
                <w:szCs w:val="21"/>
                <w:highlight w:val="none"/>
                <w:lang w:bidi="ar"/>
              </w:rPr>
              <w:t>服务承诺及服务质量指标</w:t>
            </w:r>
          </w:p>
        </w:tc>
        <w:tc>
          <w:tcPr>
            <w:tcW w:w="776" w:type="dxa"/>
            <w:tcBorders>
              <w:top w:val="single" w:color="auto" w:sz="4" w:space="0"/>
              <w:left w:val="single" w:color="auto" w:sz="6" w:space="0"/>
              <w:bottom w:val="single" w:color="auto" w:sz="6" w:space="0"/>
              <w:right w:val="single" w:color="auto" w:sz="6" w:space="0"/>
            </w:tcBorders>
            <w:shd w:val="clear" w:color="auto" w:fill="FFFFFF"/>
            <w:vAlign w:val="center"/>
          </w:tcPr>
          <w:p>
            <w:pPr>
              <w:spacing w:line="260" w:lineRule="exact"/>
              <w:jc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10</w:t>
            </w:r>
          </w:p>
        </w:tc>
        <w:tc>
          <w:tcPr>
            <w:tcW w:w="6614" w:type="dxa"/>
            <w:tcBorders>
              <w:top w:val="single" w:color="auto" w:sz="6" w:space="0"/>
              <w:left w:val="single" w:color="auto" w:sz="6" w:space="0"/>
              <w:bottom w:val="single" w:color="auto" w:sz="6" w:space="0"/>
              <w:right w:val="single" w:color="auto" w:sz="4" w:space="0"/>
            </w:tcBorders>
            <w:shd w:val="clear" w:color="auto" w:fill="FFFFFF"/>
            <w:vAlign w:val="center"/>
          </w:tcPr>
          <w:p>
            <w:pPr>
              <w:spacing w:line="260" w:lineRule="exact"/>
              <w:jc w:val="both"/>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1.投标人针对本项目服务方案科学合理，质量保证措施十分详尽，服务承诺完善得，10分；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2.投标人针对本项目服务方案较科学合理，质量保证措施较详尽，服务承诺较完善，得7分；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3.投标人针对本项目服务方案一般，质量保证措施简单，服务承诺基本完善，得4分；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4.投标人针对本项目服务方案不合理，质量保证措施较差，服务承诺不完善，得1分；</w:t>
            </w:r>
          </w:p>
        </w:tc>
        <w:tc>
          <w:tcPr>
            <w:tcW w:w="758" w:type="dxa"/>
            <w:tcBorders>
              <w:top w:val="single" w:color="auto" w:sz="6" w:space="0"/>
              <w:left w:val="single" w:color="auto" w:sz="4" w:space="0"/>
              <w:bottom w:val="single" w:color="auto" w:sz="6" w:space="0"/>
              <w:right w:val="single" w:color="auto" w:sz="6" w:space="0"/>
            </w:tcBorders>
            <w:shd w:val="clear" w:color="auto" w:fill="FFFFFF"/>
            <w:vAlign w:val="center"/>
          </w:tcPr>
          <w:p>
            <w:pPr>
              <w:rPr>
                <w:rFonts w:ascii="宋体" w:hAnsi="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88" w:hRule="atLeast"/>
        </w:trPr>
        <w:tc>
          <w:tcPr>
            <w:tcW w:w="48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163" w:type="dxa"/>
            <w:tcBorders>
              <w:top w:val="single" w:color="auto" w:sz="4" w:space="0"/>
              <w:left w:val="single" w:color="auto" w:sz="6" w:space="0"/>
              <w:bottom w:val="single" w:color="auto" w:sz="6" w:space="0"/>
              <w:right w:val="single" w:color="auto" w:sz="6" w:space="0"/>
            </w:tcBorders>
            <w:shd w:val="clear" w:color="auto" w:fill="FFFFFF"/>
            <w:vAlign w:val="center"/>
          </w:tcPr>
          <w:p>
            <w:pPr>
              <w:pStyle w:val="15"/>
              <w:spacing w:line="260" w:lineRule="exact"/>
              <w:jc w:val="center"/>
              <w:rPr>
                <w:rFonts w:cs="宋体"/>
                <w:color w:val="auto"/>
                <w:sz w:val="21"/>
                <w:szCs w:val="21"/>
                <w:highlight w:val="none"/>
                <w:lang w:bidi="ar"/>
              </w:rPr>
            </w:pPr>
            <w:r>
              <w:rPr>
                <w:rFonts w:hint="eastAsia" w:cs="宋体"/>
                <w:color w:val="auto"/>
                <w:sz w:val="21"/>
                <w:szCs w:val="21"/>
                <w:highlight w:val="none"/>
                <w:lang w:bidi="ar"/>
              </w:rPr>
              <w:t>配送能力</w:t>
            </w:r>
          </w:p>
        </w:tc>
        <w:tc>
          <w:tcPr>
            <w:tcW w:w="776" w:type="dxa"/>
            <w:tcBorders>
              <w:top w:val="single" w:color="auto" w:sz="4"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lang w:bidi="ar"/>
              </w:rPr>
              <w:t>15</w:t>
            </w:r>
          </w:p>
        </w:tc>
        <w:tc>
          <w:tcPr>
            <w:tcW w:w="6614" w:type="dxa"/>
            <w:tcBorders>
              <w:top w:val="single" w:color="auto" w:sz="6" w:space="0"/>
              <w:left w:val="single" w:color="auto" w:sz="6" w:space="0"/>
              <w:bottom w:val="single" w:color="auto" w:sz="6" w:space="0"/>
              <w:right w:val="single" w:color="auto" w:sz="4" w:space="0"/>
            </w:tcBorders>
            <w:shd w:val="clear" w:color="auto" w:fill="FFFFFF"/>
            <w:vAlign w:val="center"/>
          </w:tcPr>
          <w:p>
            <w:pPr>
              <w:widowControl/>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对各投标人的配送能力及配送中心的设置情况进行评审：</w:t>
            </w:r>
          </w:p>
          <w:p>
            <w:pPr>
              <w:widowControl/>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1.配送能力强，配送中心满足项目需要，最有利于招标人服务的，得15分；</w:t>
            </w:r>
          </w:p>
          <w:p>
            <w:pPr>
              <w:widowControl/>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2.配送能力较强，配送中心较满足项目需要，较有利于招标人服务的，得12分；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3.配送能力一般，配送中心基本满足项目需要，能基本对招标人提供服务得9分；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4.配送能力关，配送中心不能满足项目需要，不能对招标人提供及时的服务，得3分。</w:t>
            </w:r>
          </w:p>
          <w:p>
            <w:pPr>
              <w:widowControl/>
              <w:textAlignment w:val="center"/>
              <w:rPr>
                <w:color w:val="auto"/>
                <w:highlight w:val="none"/>
                <w:lang w:bidi="ar"/>
              </w:rPr>
            </w:pPr>
            <w:r>
              <w:rPr>
                <w:rFonts w:hint="eastAsia" w:ascii="宋体" w:hAnsi="宋体" w:cs="宋体"/>
                <w:color w:val="auto"/>
                <w:sz w:val="21"/>
                <w:szCs w:val="21"/>
                <w:highlight w:val="none"/>
                <w:lang w:bidi="ar"/>
              </w:rPr>
              <w:t>注：投标文件中需提供详细的场地租赁合同或产权证明及该场地经营的详细照片及提供有效的营业执照。</w:t>
            </w:r>
          </w:p>
        </w:tc>
        <w:tc>
          <w:tcPr>
            <w:tcW w:w="758" w:type="dxa"/>
            <w:tcBorders>
              <w:top w:val="single" w:color="auto" w:sz="6" w:space="0"/>
              <w:left w:val="single" w:color="auto" w:sz="4" w:space="0"/>
              <w:bottom w:val="single" w:color="auto" w:sz="6" w:space="0"/>
              <w:right w:val="single" w:color="auto" w:sz="6" w:space="0"/>
            </w:tcBorders>
            <w:shd w:val="clear" w:color="auto" w:fill="FFFFFF"/>
            <w:vAlign w:val="center"/>
          </w:tcPr>
          <w:p>
            <w:pPr>
              <w:rPr>
                <w:rFonts w:ascii="宋体" w:hAnsi="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71" w:hRule="atLeast"/>
        </w:trPr>
        <w:tc>
          <w:tcPr>
            <w:tcW w:w="48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163" w:type="dxa"/>
            <w:tcBorders>
              <w:top w:val="single" w:color="auto" w:sz="4" w:space="0"/>
              <w:left w:val="single" w:color="auto" w:sz="6" w:space="0"/>
              <w:bottom w:val="single" w:color="auto" w:sz="6" w:space="0"/>
              <w:right w:val="single" w:color="auto" w:sz="6" w:space="0"/>
            </w:tcBorders>
            <w:shd w:val="clear" w:color="auto" w:fill="FFFFFF"/>
            <w:vAlign w:val="center"/>
          </w:tcPr>
          <w:p>
            <w:pPr>
              <w:pStyle w:val="15"/>
              <w:spacing w:line="260" w:lineRule="exact"/>
              <w:jc w:val="center"/>
              <w:rPr>
                <w:rFonts w:cs="宋体"/>
                <w:color w:val="auto"/>
                <w:sz w:val="21"/>
                <w:szCs w:val="21"/>
                <w:highlight w:val="none"/>
                <w:lang w:bidi="ar"/>
              </w:rPr>
            </w:pPr>
            <w:r>
              <w:rPr>
                <w:rFonts w:hint="eastAsia" w:cs="宋体"/>
                <w:color w:val="auto"/>
                <w:sz w:val="21"/>
                <w:szCs w:val="21"/>
                <w:highlight w:val="none"/>
                <w:lang w:bidi="ar"/>
              </w:rPr>
              <w:t>管理组织架构及从业人员管理方案</w:t>
            </w:r>
          </w:p>
        </w:tc>
        <w:tc>
          <w:tcPr>
            <w:tcW w:w="776" w:type="dxa"/>
            <w:tcBorders>
              <w:top w:val="single" w:color="auto" w:sz="4" w:space="0"/>
              <w:left w:val="single" w:color="auto" w:sz="6" w:space="0"/>
              <w:bottom w:val="single" w:color="auto" w:sz="6" w:space="0"/>
              <w:right w:val="single" w:color="auto" w:sz="6" w:space="0"/>
            </w:tcBorders>
            <w:shd w:val="clear" w:color="auto" w:fill="FFFFFF"/>
            <w:vAlign w:val="center"/>
          </w:tcPr>
          <w:p>
            <w:pPr>
              <w:spacing w:line="2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6614" w:type="dxa"/>
            <w:tcBorders>
              <w:top w:val="single" w:color="auto" w:sz="6" w:space="0"/>
              <w:left w:val="single" w:color="auto" w:sz="6" w:space="0"/>
              <w:bottom w:val="single" w:color="auto" w:sz="6" w:space="0"/>
              <w:right w:val="single" w:color="auto" w:sz="4" w:space="0"/>
            </w:tcBorders>
            <w:shd w:val="clear" w:color="auto" w:fill="FFFFFF"/>
            <w:vAlign w:val="center"/>
          </w:tcPr>
          <w:p>
            <w:pPr>
              <w:widowControl/>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1.拟投入的主要管理人员和技术人员的资质优秀，经验丰富、资质与经验均与本项目相符，得</w:t>
            </w:r>
            <w:r>
              <w:rPr>
                <w:rFonts w:hint="eastAsia" w:ascii="宋体" w:hAnsi="宋体" w:cs="宋体"/>
                <w:color w:val="auto"/>
                <w:sz w:val="21"/>
                <w:szCs w:val="21"/>
                <w:highlight w:val="none"/>
                <w:lang w:val="en-US" w:eastAsia="zh-CN" w:bidi="ar"/>
              </w:rPr>
              <w:t>8</w:t>
            </w:r>
            <w:r>
              <w:rPr>
                <w:rFonts w:hint="eastAsia" w:ascii="宋体" w:hAnsi="宋体" w:cs="宋体"/>
                <w:color w:val="auto"/>
                <w:sz w:val="21"/>
                <w:szCs w:val="21"/>
                <w:highlight w:val="none"/>
                <w:lang w:bidi="ar"/>
              </w:rPr>
              <w:t>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2.拟投入的主要管理人员和技术人员的资质良好，经验丰富、资质与经验均与本项目相符，得</w:t>
            </w:r>
            <w:r>
              <w:rPr>
                <w:rFonts w:hint="eastAsia" w:ascii="宋体" w:hAnsi="宋体" w:cs="宋体"/>
                <w:color w:val="auto"/>
                <w:sz w:val="21"/>
                <w:szCs w:val="21"/>
                <w:highlight w:val="none"/>
                <w:lang w:val="en-US" w:eastAsia="zh-CN" w:bidi="ar"/>
              </w:rPr>
              <w:t>6</w:t>
            </w:r>
            <w:r>
              <w:rPr>
                <w:rFonts w:hint="eastAsia" w:ascii="宋体" w:hAnsi="宋体" w:cs="宋体"/>
                <w:color w:val="auto"/>
                <w:sz w:val="21"/>
                <w:szCs w:val="21"/>
                <w:highlight w:val="none"/>
                <w:lang w:bidi="ar"/>
              </w:rPr>
              <w:t>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3.拟投入的主要管理人员和技术人员的实力一般，基本能完成本项目的实施，得2分；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4.拟投入的主要管理人员和技术人员的实力较差，难以完成本项目，得1分。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（提供上述人员证书及2021年9月至2022年1月任意连续三个月在投标单位购买社保的证明文件复印件加盖公章）</w:t>
            </w:r>
          </w:p>
        </w:tc>
        <w:tc>
          <w:tcPr>
            <w:tcW w:w="758" w:type="dxa"/>
            <w:tcBorders>
              <w:top w:val="single" w:color="auto" w:sz="6" w:space="0"/>
              <w:left w:val="single" w:color="auto" w:sz="4" w:space="0"/>
              <w:bottom w:val="single" w:color="auto" w:sz="6" w:space="0"/>
              <w:right w:val="single" w:color="auto" w:sz="6" w:space="0"/>
            </w:tcBorders>
            <w:shd w:val="clear" w:color="auto" w:fill="FFFFFF"/>
            <w:vAlign w:val="center"/>
          </w:tcPr>
          <w:p>
            <w:pPr>
              <w:rPr>
                <w:rFonts w:ascii="宋体" w:hAnsi="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54" w:hRule="atLeast"/>
        </w:trPr>
        <w:tc>
          <w:tcPr>
            <w:tcW w:w="487"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lang w:bidi="ar"/>
              </w:rPr>
              <w:t>9</w:t>
            </w:r>
          </w:p>
        </w:tc>
        <w:tc>
          <w:tcPr>
            <w:tcW w:w="1163" w:type="dxa"/>
            <w:tcBorders>
              <w:top w:val="single" w:color="auto" w:sz="4"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食品安全管理方案及应急预案</w:t>
            </w:r>
          </w:p>
        </w:tc>
        <w:tc>
          <w:tcPr>
            <w:tcW w:w="776" w:type="dxa"/>
            <w:tcBorders>
              <w:top w:val="single" w:color="auto" w:sz="4"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lang w:bidi="ar"/>
              </w:rPr>
              <w:t>10</w:t>
            </w:r>
          </w:p>
        </w:tc>
        <w:tc>
          <w:tcPr>
            <w:tcW w:w="6614" w:type="dxa"/>
            <w:tcBorders>
              <w:top w:val="single" w:color="auto" w:sz="6" w:space="0"/>
              <w:left w:val="single" w:color="auto" w:sz="6" w:space="0"/>
              <w:bottom w:val="single" w:color="auto" w:sz="6" w:space="0"/>
              <w:right w:val="single" w:color="auto" w:sz="4" w:space="0"/>
            </w:tcBorders>
            <w:shd w:val="clear" w:color="auto" w:fill="FFFFFF"/>
            <w:vAlign w:val="center"/>
          </w:tcPr>
          <w:p>
            <w:pPr>
              <w:widowControl/>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对各投标人针对本项目所提供的食品安全管理方案及应急预案进行评审：</w:t>
            </w:r>
          </w:p>
          <w:p>
            <w:pPr>
              <w:widowControl/>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1. 投标人针对本项目所提供的食品安全管理方案周全，应急预案是合理、到位的，得10分；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2.投标人针对本项目所提供的食品安全管理方案较周全，应急预案较合理、到位，得7分；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3.投标人针对本项目所提供的食品安全管理方案、应急方案基本齐全，得4分；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4.投标人针对本项目所提供的食品安全管理方案、应急方案缺失，与项目要求不匹配，得1分。</w:t>
            </w:r>
          </w:p>
        </w:tc>
        <w:tc>
          <w:tcPr>
            <w:tcW w:w="758" w:type="dxa"/>
            <w:tcBorders>
              <w:top w:val="single" w:color="auto" w:sz="6" w:space="0"/>
              <w:left w:val="single" w:color="auto" w:sz="4" w:space="0"/>
              <w:bottom w:val="single" w:color="auto" w:sz="6" w:space="0"/>
              <w:right w:val="single" w:color="auto" w:sz="6" w:space="0"/>
            </w:tcBorders>
            <w:shd w:val="clear" w:color="auto" w:fill="FFFFFF"/>
            <w:vAlign w:val="center"/>
          </w:tcPr>
          <w:p>
            <w:pPr>
              <w:rPr>
                <w:rFonts w:ascii="宋体" w:hAnsi="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6" w:hRule="atLeast"/>
        </w:trPr>
        <w:tc>
          <w:tcPr>
            <w:tcW w:w="165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b/>
                <w:color w:val="auto"/>
                <w:sz w:val="21"/>
                <w:szCs w:val="21"/>
                <w:highlight w:val="none"/>
              </w:rPr>
            </w:pPr>
            <w:r>
              <w:rPr>
                <w:rFonts w:hint="eastAsia" w:ascii="宋体" w:hAnsi="宋体" w:cs="宋体"/>
                <w:b/>
                <w:color w:val="auto"/>
                <w:kern w:val="2"/>
                <w:sz w:val="21"/>
                <w:szCs w:val="21"/>
                <w:highlight w:val="none"/>
              </w:rPr>
              <w:t>合计</w:t>
            </w:r>
          </w:p>
        </w:tc>
        <w:tc>
          <w:tcPr>
            <w:tcW w:w="776" w:type="dxa"/>
            <w:tcBorders>
              <w:top w:val="single" w:color="auto" w:sz="4" w:space="0"/>
              <w:left w:val="single" w:color="auto" w:sz="6" w:space="0"/>
              <w:bottom w:val="single" w:color="auto" w:sz="6" w:space="0"/>
              <w:right w:val="single" w:color="auto" w:sz="4" w:space="0"/>
            </w:tcBorders>
            <w:shd w:val="clear" w:color="auto" w:fill="FFFFFF"/>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80</w:t>
            </w:r>
          </w:p>
        </w:tc>
        <w:tc>
          <w:tcPr>
            <w:tcW w:w="6614" w:type="dxa"/>
            <w:tcBorders>
              <w:top w:val="single" w:color="auto" w:sz="4" w:space="0"/>
              <w:left w:val="single" w:color="auto" w:sz="4" w:space="0"/>
              <w:bottom w:val="single" w:color="auto" w:sz="6" w:space="0"/>
              <w:right w:val="single" w:color="auto" w:sz="4" w:space="0"/>
            </w:tcBorders>
            <w:shd w:val="clear" w:color="auto" w:fill="FFFFFF"/>
            <w:vAlign w:val="center"/>
          </w:tcPr>
          <w:p>
            <w:pPr>
              <w:jc w:val="center"/>
              <w:rPr>
                <w:rFonts w:ascii="宋体" w:hAnsi="宋体" w:cs="宋体"/>
                <w:b/>
                <w:color w:val="auto"/>
                <w:sz w:val="21"/>
                <w:szCs w:val="21"/>
                <w:highlight w:val="none"/>
              </w:rPr>
            </w:pPr>
            <w:r>
              <w:rPr>
                <w:rFonts w:hint="eastAsia" w:ascii="宋体" w:hAnsi="宋体" w:cs="宋体"/>
                <w:b/>
                <w:color w:val="auto"/>
                <w:kern w:val="2"/>
                <w:sz w:val="21"/>
                <w:szCs w:val="21"/>
                <w:highlight w:val="none"/>
              </w:rPr>
              <w:t>得分总计</w:t>
            </w:r>
          </w:p>
        </w:tc>
        <w:tc>
          <w:tcPr>
            <w:tcW w:w="758" w:type="dxa"/>
            <w:tcBorders>
              <w:top w:val="single" w:color="auto" w:sz="6" w:space="0"/>
              <w:left w:val="single" w:color="auto" w:sz="4" w:space="0"/>
              <w:bottom w:val="single" w:color="auto" w:sz="6" w:space="0"/>
              <w:right w:val="single" w:color="auto" w:sz="6" w:space="0"/>
            </w:tcBorders>
            <w:shd w:val="clear" w:color="auto" w:fill="FFFFFF"/>
            <w:vAlign w:val="center"/>
          </w:tcPr>
          <w:p>
            <w:pPr>
              <w:rPr>
                <w:rFonts w:ascii="宋体" w:hAnsi="宋体" w:cs="宋体"/>
                <w:color w:val="auto"/>
                <w:sz w:val="21"/>
                <w:szCs w:val="21"/>
                <w:highlight w:val="none"/>
              </w:rPr>
            </w:pPr>
          </w:p>
        </w:tc>
      </w:tr>
    </w:tbl>
    <w:p>
      <w:pPr>
        <w:snapToGrid w:val="0"/>
        <w:spacing w:line="360" w:lineRule="auto"/>
        <w:ind w:firstLine="105" w:firstLineChars="50"/>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备注：</w:t>
      </w:r>
    </w:p>
    <w:p>
      <w:pPr>
        <w:numPr>
          <w:ilvl w:val="0"/>
          <w:numId w:val="27"/>
        </w:numPr>
        <w:autoSpaceDE/>
        <w:autoSpaceDN/>
        <w:adjustRightInd/>
        <w:snapToGrid w:val="0"/>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招标文件要求提交的与评价指标体系相关的各类有效资料，投标人如未按要求提交的，该项评分为零分。</w:t>
      </w:r>
    </w:p>
    <w:p>
      <w:pPr>
        <w:numPr>
          <w:ilvl w:val="0"/>
          <w:numId w:val="27"/>
        </w:numPr>
        <w:autoSpaceDE/>
        <w:autoSpaceDN/>
        <w:adjustRightInd/>
        <w:snapToGrid w:val="0"/>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技术商务评分：所有评委评分分值的算术平均值（四舍五入后，</w:t>
      </w:r>
      <w:r>
        <w:rPr>
          <w:rFonts w:hint="eastAsia" w:ascii="宋体" w:hAnsi="宋体" w:cs="宋体"/>
          <w:color w:val="auto"/>
          <w:sz w:val="21"/>
          <w:szCs w:val="21"/>
          <w:highlight w:val="none"/>
        </w:rPr>
        <w:t>小数点后保留两位有效数</w:t>
      </w:r>
      <w:r>
        <w:rPr>
          <w:rFonts w:hint="eastAsia" w:ascii="宋体" w:hAnsi="宋体" w:cs="宋体"/>
          <w:bCs/>
          <w:color w:val="auto"/>
          <w:sz w:val="21"/>
          <w:szCs w:val="21"/>
          <w:highlight w:val="none"/>
        </w:rPr>
        <w:t>）。</w:t>
      </w:r>
    </w:p>
    <w:p>
      <w:pPr>
        <w:numPr>
          <w:ilvl w:val="0"/>
          <w:numId w:val="27"/>
        </w:numPr>
        <w:autoSpaceDE/>
        <w:autoSpaceDN/>
        <w:adjustRightInd/>
        <w:snapToGrid w:val="0"/>
        <w:spacing w:line="360" w:lineRule="auto"/>
        <w:jc w:val="both"/>
        <w:rPr>
          <w:rFonts w:ascii="宋体" w:hAnsi="宋体" w:cs="宋体"/>
          <w:bCs/>
          <w:color w:val="auto"/>
          <w:sz w:val="21"/>
          <w:szCs w:val="21"/>
          <w:highlight w:val="none"/>
        </w:rPr>
      </w:pPr>
      <w:r>
        <w:rPr>
          <w:rFonts w:hint="eastAsia" w:ascii="宋体" w:hAnsi="宋体" w:cs="宋体"/>
          <w:bCs/>
          <w:color w:val="auto"/>
          <w:sz w:val="21"/>
          <w:szCs w:val="21"/>
          <w:highlight w:val="none"/>
        </w:rPr>
        <w:t>评审内容中所要求提交“原件”独立封装，并内附“资料原件提交清单”（详见第六章投标文件格式），以便评审委员会核对，如未提供原件的，该项评分为0分。“原件”与投标文件同时递交（招标代理机构不接收投标截止后递交的原件），评标结束当日退回。</w:t>
      </w:r>
    </w:p>
    <w:p>
      <w:pPr>
        <w:snapToGrid w:val="0"/>
        <w:spacing w:before="156" w:beforeLines="50" w:after="156" w:afterLines="50" w:line="360" w:lineRule="auto"/>
        <w:rPr>
          <w:rFonts w:ascii="宋体" w:hAnsi="宋体" w:cs="Arial"/>
          <w:color w:val="auto"/>
          <w:szCs w:val="21"/>
          <w:highlight w:val="none"/>
        </w:rPr>
      </w:pPr>
      <w:r>
        <w:rPr>
          <w:rFonts w:hint="eastAsia" w:ascii="宋体" w:hAnsi="宋体" w:cs="宋体"/>
          <w:color w:val="auto"/>
          <w:sz w:val="21"/>
          <w:szCs w:val="21"/>
          <w:highlight w:val="none"/>
        </w:rPr>
        <w:t>评委签名：                                                            日期：</w:t>
      </w:r>
      <w:r>
        <w:rPr>
          <w:rFonts w:hint="eastAsia" w:ascii="宋体" w:hAnsi="宋体" w:cs="Arial"/>
          <w:color w:val="auto"/>
          <w:szCs w:val="21"/>
          <w:highlight w:val="none"/>
        </w:rPr>
        <w:t xml:space="preserve">  </w:t>
      </w:r>
    </w:p>
    <w:p>
      <w:pPr>
        <w:rPr>
          <w:color w:val="auto"/>
          <w:highlight w:val="none"/>
        </w:rPr>
      </w:pPr>
    </w:p>
    <w:p>
      <w:pPr>
        <w:snapToGrid w:val="0"/>
        <w:spacing w:before="156" w:beforeLines="50" w:after="156" w:afterLines="50" w:line="360" w:lineRule="auto"/>
        <w:rPr>
          <w:rFonts w:ascii="宋体" w:hAnsi="宋体" w:cs="Arial"/>
          <w:color w:val="auto"/>
          <w:sz w:val="22"/>
          <w:szCs w:val="24"/>
          <w:highlight w:val="none"/>
        </w:rPr>
        <w:sectPr>
          <w:pgSz w:w="11906" w:h="16838"/>
          <w:pgMar w:top="1134" w:right="1134" w:bottom="1134" w:left="1134" w:header="851" w:footer="725" w:gutter="0"/>
          <w:pgNumType w:fmt="decimal"/>
          <w:cols w:space="720" w:num="1"/>
          <w:titlePg/>
          <w:docGrid w:type="lines" w:linePitch="312" w:charSpace="0"/>
        </w:sectPr>
      </w:pPr>
    </w:p>
    <w:p>
      <w:pPr>
        <w:spacing w:before="156" w:beforeLines="50" w:after="156" w:afterLines="50" w:line="360" w:lineRule="auto"/>
        <w:rPr>
          <w:rFonts w:ascii="宋体" w:hAnsi="宋体" w:cs="Arial"/>
          <w:color w:val="auto"/>
          <w:sz w:val="21"/>
          <w:szCs w:val="21"/>
          <w:highlight w:val="none"/>
        </w:rPr>
      </w:pPr>
      <w:r>
        <w:rPr>
          <w:rFonts w:hint="eastAsia" w:ascii="宋体" w:hAnsi="宋体" w:cs="Arial"/>
          <w:color w:val="auto"/>
          <w:sz w:val="21"/>
          <w:szCs w:val="21"/>
          <w:highlight w:val="none"/>
        </w:rPr>
        <w:t xml:space="preserve">附表3：投标报价修正、缺漏表（1、投标报价修正表；2、投标报价缺漏项表）（投标人无需填写） </w:t>
      </w:r>
    </w:p>
    <w:p>
      <w:pPr>
        <w:jc w:val="center"/>
        <w:rPr>
          <w:rFonts w:ascii="宋体" w:hAnsi="宋体" w:cs="Arial"/>
          <w:color w:val="auto"/>
          <w:sz w:val="32"/>
          <w:szCs w:val="36"/>
          <w:highlight w:val="none"/>
        </w:rPr>
      </w:pPr>
      <w:r>
        <w:rPr>
          <w:rFonts w:hint="eastAsia" w:ascii="宋体" w:hAnsi="宋体" w:cs="Arial"/>
          <w:color w:val="auto"/>
          <w:sz w:val="32"/>
          <w:szCs w:val="36"/>
          <w:highlight w:val="none"/>
        </w:rPr>
        <w:t>投标报价修正表</w:t>
      </w:r>
      <w:r>
        <w:rPr>
          <w:rFonts w:hint="eastAsia" w:ascii="宋体" w:hAnsi="宋体" w:cs="Arial"/>
          <w:color w:val="auto"/>
          <w:sz w:val="32"/>
          <w:szCs w:val="36"/>
          <w:highlight w:val="none"/>
          <w:lang w:eastAsia="zh-CN"/>
        </w:rPr>
        <w:t>（</w:t>
      </w:r>
      <w:r>
        <w:rPr>
          <w:rFonts w:hint="eastAsia" w:ascii="宋体" w:hAnsi="宋体" w:cs="Arial"/>
          <w:color w:val="auto"/>
          <w:sz w:val="32"/>
          <w:szCs w:val="36"/>
          <w:highlight w:val="none"/>
        </w:rPr>
        <w:t>网上开标不适用）</w:t>
      </w:r>
    </w:p>
    <w:p>
      <w:pPr>
        <w:pStyle w:val="2"/>
        <w:spacing w:before="0" w:after="0" w:line="360"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投标人名称：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1968"/>
        <w:gridCol w:w="1968"/>
        <w:gridCol w:w="1968"/>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7"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修正原因</w:t>
            </w: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修正前价格</w:t>
            </w: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修正后价格</w:t>
            </w: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67"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7"/>
              <w:numPr>
                <w:ilvl w:val="0"/>
                <w:numId w:val="0"/>
              </w:numPr>
              <w:tabs>
                <w:tab w:val="left" w:pos="400"/>
              </w:tabs>
              <w:spacing w:line="360" w:lineRule="auto"/>
              <w:ind w:leftChars="-190"/>
              <w:rPr>
                <w:rFonts w:hAnsi="宋体" w:cs="宋体"/>
                <w:color w:val="auto"/>
                <w:sz w:val="21"/>
                <w:szCs w:val="21"/>
                <w:highlight w:val="none"/>
              </w:rPr>
            </w:pPr>
            <w:r>
              <w:rPr>
                <w:rFonts w:hint="eastAsia" w:hAnsi="宋体" w:cs="宋体"/>
                <w:color w:val="auto"/>
                <w:sz w:val="21"/>
                <w:szCs w:val="21"/>
                <w:highlight w:val="none"/>
              </w:rPr>
              <w:t>（</w:t>
            </w:r>
          </w:p>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967"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67"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967"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67"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最终修正价格</w:t>
            </w: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67"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投标报价修正比例</w:t>
            </w: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r>
    </w:tbl>
    <w:p>
      <w:pPr>
        <w:pStyle w:val="2"/>
        <w:spacing w:before="0" w:after="0" w:line="360"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备注：评标委员会根据投标人须知规定的方法对投标人的投标报价进行修正。</w:t>
      </w:r>
    </w:p>
    <w:p>
      <w:pPr>
        <w:rPr>
          <w:rFonts w:ascii="宋体" w:hAnsi="宋体" w:cs="Arial"/>
          <w:color w:val="auto"/>
          <w:szCs w:val="21"/>
          <w:highlight w:val="none"/>
        </w:rPr>
      </w:pPr>
      <w:r>
        <w:rPr>
          <w:rFonts w:hint="eastAsia" w:ascii="宋体" w:hAnsi="宋体" w:cs="宋体"/>
          <w:color w:val="auto"/>
          <w:sz w:val="21"/>
          <w:szCs w:val="21"/>
          <w:highlight w:val="none"/>
        </w:rPr>
        <w:t>评委签名：                                                            日期：</w:t>
      </w:r>
      <w:r>
        <w:rPr>
          <w:rFonts w:hint="eastAsia" w:ascii="宋体" w:hAnsi="宋体" w:cs="Arial"/>
          <w:color w:val="auto"/>
          <w:szCs w:val="21"/>
          <w:highlight w:val="none"/>
        </w:rPr>
        <w:t xml:space="preserve"> </w:t>
      </w:r>
    </w:p>
    <w:p>
      <w:pPr>
        <w:pStyle w:val="2"/>
        <w:rPr>
          <w:rFonts w:ascii="宋体" w:hAnsi="宋体" w:cs="Arial"/>
          <w:color w:val="auto"/>
          <w:szCs w:val="21"/>
          <w:highlight w:val="none"/>
        </w:rPr>
      </w:pPr>
    </w:p>
    <w:p>
      <w:pPr>
        <w:rPr>
          <w:rFonts w:ascii="宋体" w:hAnsi="宋体" w:cs="Arial"/>
          <w:color w:val="auto"/>
          <w:szCs w:val="21"/>
          <w:highlight w:val="none"/>
        </w:rPr>
      </w:pPr>
    </w:p>
    <w:p>
      <w:pPr>
        <w:jc w:val="center"/>
        <w:rPr>
          <w:rFonts w:ascii="宋体" w:hAnsi="宋体" w:cs="Arial"/>
          <w:color w:val="auto"/>
          <w:sz w:val="32"/>
          <w:szCs w:val="36"/>
          <w:highlight w:val="none"/>
        </w:rPr>
      </w:pPr>
      <w:r>
        <w:rPr>
          <w:rFonts w:hint="eastAsia" w:ascii="宋体" w:hAnsi="宋体" w:cs="Arial"/>
          <w:color w:val="auto"/>
          <w:sz w:val="32"/>
          <w:szCs w:val="36"/>
          <w:highlight w:val="none"/>
        </w:rPr>
        <w:t>投标报价缺漏项价格表</w:t>
      </w:r>
      <w:r>
        <w:rPr>
          <w:rFonts w:hint="eastAsia" w:ascii="宋体" w:hAnsi="宋体" w:cs="Arial"/>
          <w:color w:val="auto"/>
          <w:sz w:val="32"/>
          <w:szCs w:val="36"/>
          <w:highlight w:val="none"/>
          <w:lang w:eastAsia="zh-CN"/>
        </w:rPr>
        <w:t>（</w:t>
      </w:r>
      <w:r>
        <w:rPr>
          <w:rFonts w:hint="eastAsia" w:ascii="宋体" w:hAnsi="宋体" w:cs="Arial"/>
          <w:color w:val="auto"/>
          <w:sz w:val="32"/>
          <w:szCs w:val="36"/>
          <w:highlight w:val="none"/>
        </w:rPr>
        <w:t>网上开标不适用）</w:t>
      </w:r>
    </w:p>
    <w:p>
      <w:pPr>
        <w:pStyle w:val="2"/>
        <w:spacing w:before="0" w:after="0" w:line="360"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投标人名称：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1968"/>
        <w:gridCol w:w="1968"/>
        <w:gridCol w:w="1968"/>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7"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缺漏项目</w:t>
            </w: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缺漏项价格</w:t>
            </w: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补正价格</w:t>
            </w: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67"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967"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67"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967"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67"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缺漏项价格汇总</w:t>
            </w: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67" w:type="dxa"/>
            <w:vAlign w:val="center"/>
          </w:tcPr>
          <w:p>
            <w:pPr>
              <w:pStyle w:val="2"/>
              <w:spacing w:before="0" w:after="0"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缺漏价格比例</w:t>
            </w: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c>
          <w:tcPr>
            <w:tcW w:w="1968" w:type="dxa"/>
            <w:vAlign w:val="center"/>
          </w:tcPr>
          <w:p>
            <w:pPr>
              <w:pStyle w:val="2"/>
              <w:spacing w:before="0" w:after="0" w:line="240" w:lineRule="auto"/>
              <w:jc w:val="center"/>
              <w:rPr>
                <w:rFonts w:ascii="宋体" w:hAnsi="宋体" w:eastAsia="宋体" w:cs="宋体"/>
                <w:b w:val="0"/>
                <w:bCs w:val="0"/>
                <w:color w:val="auto"/>
                <w:sz w:val="21"/>
                <w:szCs w:val="21"/>
                <w:highlight w:val="none"/>
              </w:rPr>
            </w:pPr>
          </w:p>
        </w:tc>
      </w:tr>
    </w:tbl>
    <w:p>
      <w:pPr>
        <w:pStyle w:val="2"/>
        <w:spacing w:before="0" w:after="0" w:line="360"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备注：评标委员会根据投标人须知规定的方法统计投标报价的缺漏项价格。</w:t>
      </w:r>
    </w:p>
    <w:p>
      <w:pPr>
        <w:rPr>
          <w:rFonts w:ascii="宋体" w:hAnsi="宋体" w:cs="Arial"/>
          <w:color w:val="auto"/>
          <w:szCs w:val="21"/>
          <w:highlight w:val="none"/>
        </w:rPr>
      </w:pPr>
      <w:r>
        <w:rPr>
          <w:rFonts w:hint="eastAsia" w:ascii="宋体" w:hAnsi="宋体" w:cs="宋体"/>
          <w:color w:val="auto"/>
          <w:sz w:val="21"/>
          <w:szCs w:val="21"/>
          <w:highlight w:val="none"/>
        </w:rPr>
        <w:t>评委签名：                                                            日期：</w:t>
      </w:r>
      <w:r>
        <w:rPr>
          <w:rFonts w:hint="eastAsia" w:ascii="宋体" w:hAnsi="宋体" w:cs="Arial"/>
          <w:color w:val="auto"/>
          <w:szCs w:val="21"/>
          <w:highlight w:val="none"/>
        </w:rPr>
        <w:t xml:space="preserve"> </w:t>
      </w:r>
    </w:p>
    <w:p>
      <w:pPr>
        <w:pStyle w:val="2"/>
        <w:rPr>
          <w:color w:val="auto"/>
          <w:highlight w:val="none"/>
        </w:rPr>
      </w:pPr>
    </w:p>
    <w:p>
      <w:pPr>
        <w:snapToGrid w:val="0"/>
        <w:spacing w:before="156" w:beforeLines="50" w:after="156" w:afterLines="50" w:line="360" w:lineRule="auto"/>
        <w:jc w:val="center"/>
        <w:rPr>
          <w:rFonts w:ascii="宋体" w:hAnsi="宋体" w:cs="宋体"/>
          <w:color w:val="auto"/>
          <w:sz w:val="28"/>
          <w:szCs w:val="28"/>
          <w:highlight w:val="none"/>
        </w:rPr>
      </w:pPr>
    </w:p>
    <w:p>
      <w:pPr>
        <w:widowControl/>
        <w:autoSpaceDE/>
        <w:autoSpaceDN/>
        <w:adjustRightInd/>
        <w:spacing w:line="360" w:lineRule="auto"/>
        <w:jc w:val="center"/>
        <w:rPr>
          <w:rFonts w:ascii="宋体" w:hAnsi="宋体" w:cs="宋体"/>
          <w:b/>
          <w:bCs/>
          <w:color w:val="auto"/>
          <w:sz w:val="21"/>
          <w:szCs w:val="21"/>
          <w:highlight w:val="none"/>
        </w:rPr>
      </w:pPr>
    </w:p>
    <w:p>
      <w:pPr>
        <w:widowControl/>
        <w:autoSpaceDE/>
        <w:autoSpaceDN/>
        <w:adjustRightInd/>
        <w:spacing w:line="360" w:lineRule="auto"/>
        <w:jc w:val="center"/>
        <w:rPr>
          <w:rFonts w:ascii="宋体" w:hAnsi="宋体" w:cs="宋体"/>
          <w:b/>
          <w:bCs/>
          <w:color w:val="auto"/>
          <w:sz w:val="21"/>
          <w:szCs w:val="21"/>
          <w:highlight w:val="none"/>
        </w:rPr>
      </w:pPr>
    </w:p>
    <w:p>
      <w:pPr>
        <w:widowControl/>
        <w:autoSpaceDE/>
        <w:autoSpaceDN/>
        <w:adjustRightInd/>
        <w:spacing w:line="360" w:lineRule="auto"/>
        <w:jc w:val="center"/>
        <w:rPr>
          <w:rFonts w:ascii="宋体" w:hAnsi="宋体" w:cs="宋体"/>
          <w:b/>
          <w:bCs/>
          <w:color w:val="auto"/>
          <w:sz w:val="21"/>
          <w:szCs w:val="21"/>
          <w:highlight w:val="none"/>
        </w:rPr>
      </w:pPr>
    </w:p>
    <w:p>
      <w:pPr>
        <w:widowControl/>
        <w:autoSpaceDE/>
        <w:autoSpaceDN/>
        <w:adjustRightInd/>
        <w:spacing w:line="360" w:lineRule="auto"/>
        <w:jc w:val="center"/>
        <w:rPr>
          <w:rFonts w:ascii="宋体" w:hAnsi="宋体" w:cs="宋体"/>
          <w:b/>
          <w:bCs/>
          <w:color w:val="auto"/>
          <w:sz w:val="21"/>
          <w:szCs w:val="21"/>
          <w:highlight w:val="none"/>
        </w:rPr>
      </w:pPr>
    </w:p>
    <w:p>
      <w:pPr>
        <w:widowControl/>
        <w:autoSpaceDE/>
        <w:autoSpaceDN/>
        <w:adjustRightInd/>
        <w:spacing w:line="360" w:lineRule="auto"/>
        <w:jc w:val="center"/>
        <w:rPr>
          <w:rFonts w:ascii="宋体" w:hAnsi="宋体" w:cs="宋体"/>
          <w:b/>
          <w:bCs/>
          <w:color w:val="auto"/>
          <w:sz w:val="21"/>
          <w:szCs w:val="21"/>
          <w:highlight w:val="none"/>
        </w:rPr>
      </w:pPr>
    </w:p>
    <w:p>
      <w:pPr>
        <w:widowControl/>
        <w:autoSpaceDE/>
        <w:autoSpaceDN/>
        <w:adjustRightInd/>
        <w:spacing w:line="360" w:lineRule="auto"/>
        <w:jc w:val="center"/>
        <w:rPr>
          <w:rFonts w:ascii="宋体" w:hAnsi="宋体" w:cs="宋体"/>
          <w:b/>
          <w:bCs/>
          <w:color w:val="auto"/>
          <w:sz w:val="21"/>
          <w:szCs w:val="21"/>
          <w:highlight w:val="none"/>
        </w:rPr>
      </w:pPr>
    </w:p>
    <w:p>
      <w:pPr>
        <w:snapToGrid w:val="0"/>
        <w:spacing w:line="360" w:lineRule="auto"/>
        <w:jc w:val="center"/>
        <w:outlineLvl w:val="0"/>
        <w:rPr>
          <w:rFonts w:ascii="宋体" w:hAnsi="宋体" w:cs="宋体"/>
          <w:b/>
          <w:bCs/>
          <w:color w:val="auto"/>
          <w:sz w:val="40"/>
          <w:szCs w:val="40"/>
          <w:highlight w:val="none"/>
        </w:rPr>
      </w:pPr>
    </w:p>
    <w:p>
      <w:pPr>
        <w:snapToGrid w:val="0"/>
        <w:spacing w:line="360" w:lineRule="auto"/>
        <w:jc w:val="center"/>
        <w:outlineLvl w:val="0"/>
        <w:rPr>
          <w:rFonts w:ascii="宋体" w:hAnsi="宋体" w:cs="宋体"/>
          <w:b/>
          <w:bCs/>
          <w:color w:val="auto"/>
          <w:sz w:val="40"/>
          <w:szCs w:val="40"/>
          <w:highlight w:val="none"/>
        </w:rPr>
      </w:pPr>
    </w:p>
    <w:p>
      <w:pPr>
        <w:snapToGrid w:val="0"/>
        <w:spacing w:line="360" w:lineRule="auto"/>
        <w:jc w:val="center"/>
        <w:outlineLvl w:val="0"/>
        <w:rPr>
          <w:rFonts w:ascii="宋体" w:hAnsi="宋体" w:cs="宋体"/>
          <w:b/>
          <w:bCs/>
          <w:color w:val="auto"/>
          <w:sz w:val="40"/>
          <w:szCs w:val="40"/>
          <w:highlight w:val="none"/>
        </w:rPr>
      </w:pPr>
    </w:p>
    <w:p>
      <w:pPr>
        <w:snapToGrid w:val="0"/>
        <w:spacing w:line="360" w:lineRule="auto"/>
        <w:jc w:val="center"/>
        <w:outlineLvl w:val="0"/>
        <w:rPr>
          <w:rFonts w:ascii="宋体" w:hAnsi="宋体" w:cs="宋体"/>
          <w:b/>
          <w:bCs/>
          <w:color w:val="auto"/>
          <w:sz w:val="40"/>
          <w:szCs w:val="40"/>
          <w:highlight w:val="none"/>
        </w:rPr>
      </w:pPr>
    </w:p>
    <w:p>
      <w:pPr>
        <w:snapToGrid w:val="0"/>
        <w:spacing w:line="360" w:lineRule="auto"/>
        <w:jc w:val="center"/>
        <w:outlineLvl w:val="0"/>
        <w:rPr>
          <w:rFonts w:ascii="宋体" w:hAnsi="宋体" w:cs="宋体"/>
          <w:b/>
          <w:bCs/>
          <w:color w:val="auto"/>
          <w:sz w:val="40"/>
          <w:szCs w:val="40"/>
          <w:highlight w:val="none"/>
        </w:rPr>
      </w:pPr>
    </w:p>
    <w:p>
      <w:pPr>
        <w:numPr>
          <w:ilvl w:val="0"/>
          <w:numId w:val="28"/>
        </w:numPr>
        <w:snapToGrid w:val="0"/>
        <w:spacing w:line="360" w:lineRule="auto"/>
        <w:jc w:val="center"/>
        <w:outlineLvl w:val="0"/>
        <w:rPr>
          <w:rFonts w:ascii="宋体" w:hAnsi="宋体" w:cs="宋体"/>
          <w:b/>
          <w:bCs/>
          <w:color w:val="auto"/>
          <w:sz w:val="40"/>
          <w:szCs w:val="40"/>
          <w:highlight w:val="none"/>
        </w:rPr>
      </w:pPr>
      <w:r>
        <w:rPr>
          <w:rFonts w:hint="eastAsia" w:ascii="宋体" w:hAnsi="宋体" w:cs="宋体"/>
          <w:b/>
          <w:bCs/>
          <w:color w:val="auto"/>
          <w:sz w:val="40"/>
          <w:szCs w:val="40"/>
          <w:highlight w:val="none"/>
        </w:rPr>
        <w:t xml:space="preserve"> </w:t>
      </w:r>
      <w:bookmarkStart w:id="11" w:name="_Toc25072"/>
      <w:r>
        <w:rPr>
          <w:rFonts w:hint="eastAsia" w:ascii="宋体" w:hAnsi="宋体" w:cs="宋体"/>
          <w:b/>
          <w:bCs/>
          <w:color w:val="auto"/>
          <w:sz w:val="40"/>
          <w:szCs w:val="40"/>
          <w:highlight w:val="none"/>
        </w:rPr>
        <w:t>合同书格式</w:t>
      </w:r>
      <w:bookmarkEnd w:id="11"/>
    </w:p>
    <w:p>
      <w:pPr>
        <w:pStyle w:val="53"/>
        <w:rPr>
          <w:color w:val="auto"/>
          <w:highlight w:val="none"/>
        </w:rPr>
      </w:pPr>
      <w:bookmarkStart w:id="12" w:name="_Toc2019062"/>
      <w:bookmarkStart w:id="13" w:name="_Toc12294753"/>
      <w:bookmarkStart w:id="14" w:name="_Toc2019157"/>
      <w:r>
        <w:rPr>
          <w:rFonts w:hint="eastAsia" w:ascii="宋体" w:hAnsi="宋体"/>
          <w:color w:val="auto"/>
          <w:sz w:val="24"/>
          <w:szCs w:val="24"/>
          <w:highlight w:val="none"/>
        </w:rPr>
        <w:t>（本合同范本仅供参考，中标人与招标人</w:t>
      </w:r>
      <w:r>
        <w:rPr>
          <w:rFonts w:hint="eastAsia"/>
          <w:color w:val="auto"/>
          <w:sz w:val="24"/>
          <w:highlight w:val="none"/>
        </w:rPr>
        <w:t>可根据双方的具体要求进行修订</w:t>
      </w:r>
      <w:r>
        <w:rPr>
          <w:rFonts w:hint="eastAsia" w:ascii="宋体" w:hAnsi="宋体"/>
          <w:color w:val="auto"/>
          <w:sz w:val="24"/>
          <w:szCs w:val="24"/>
          <w:highlight w:val="none"/>
        </w:rPr>
        <w:t>）</w:t>
      </w:r>
      <w:bookmarkEnd w:id="12"/>
      <w:bookmarkEnd w:id="13"/>
      <w:bookmarkEnd w:id="14"/>
    </w:p>
    <w:p>
      <w:pPr>
        <w:pStyle w:val="2"/>
        <w:rPr>
          <w:color w:val="auto"/>
          <w:highlight w:val="none"/>
        </w:rPr>
      </w:pPr>
    </w:p>
    <w:p>
      <w:pPr>
        <w:widowControl/>
        <w:autoSpaceDE/>
        <w:autoSpaceDN/>
        <w:adjustRightInd/>
        <w:spacing w:line="360" w:lineRule="auto"/>
        <w:jc w:val="center"/>
        <w:rPr>
          <w:rFonts w:ascii="宋体" w:hAnsi="宋体" w:cs="宋体"/>
          <w:b/>
          <w:bCs/>
          <w:color w:val="auto"/>
          <w:sz w:val="21"/>
          <w:szCs w:val="21"/>
          <w:highlight w:val="none"/>
        </w:rPr>
      </w:pPr>
    </w:p>
    <w:p>
      <w:pPr>
        <w:pStyle w:val="19"/>
        <w:rPr>
          <w:color w:val="auto"/>
          <w:highlight w:val="none"/>
        </w:rPr>
        <w:sectPr>
          <w:pgSz w:w="11906" w:h="16838"/>
          <w:pgMar w:top="1134" w:right="1134" w:bottom="1134" w:left="1134" w:header="851" w:footer="725" w:gutter="0"/>
          <w:pgNumType w:fmt="decimal"/>
          <w:cols w:space="720" w:num="1"/>
          <w:titlePg/>
          <w:docGrid w:type="lines" w:linePitch="312" w:charSpace="0"/>
        </w:sectPr>
      </w:pPr>
    </w:p>
    <w:p>
      <w:pPr>
        <w:widowControl/>
        <w:autoSpaceDE/>
        <w:autoSpaceDN/>
        <w:adjustRightInd/>
        <w:spacing w:line="360" w:lineRule="auto"/>
        <w:jc w:val="both"/>
        <w:rPr>
          <w:rFonts w:ascii="宋体" w:hAnsi="宋体" w:cs="宋体"/>
          <w:b/>
          <w:bCs/>
          <w:color w:val="auto"/>
          <w:sz w:val="21"/>
          <w:szCs w:val="21"/>
          <w:highlight w:val="none"/>
        </w:rPr>
      </w:pPr>
    </w:p>
    <w:p>
      <w:pPr>
        <w:rPr>
          <w:rFonts w:ascii="宋体" w:hAnsi="宋体" w:cs="宋体"/>
          <w:color w:val="auto"/>
          <w:highlight w:val="none"/>
        </w:rPr>
      </w:pPr>
    </w:p>
    <w:p>
      <w:pPr>
        <w:tabs>
          <w:tab w:val="left" w:pos="426"/>
        </w:tabs>
        <w:spacing w:line="360" w:lineRule="auto"/>
        <w:ind w:left="1"/>
        <w:rPr>
          <w:rFonts w:ascii="宋体" w:hAnsi="宋体" w:cs="宋体"/>
          <w:color w:val="auto"/>
          <w:sz w:val="21"/>
          <w:szCs w:val="21"/>
          <w:highlight w:val="none"/>
        </w:rPr>
        <w:sectPr>
          <w:type w:val="continuous"/>
          <w:pgSz w:w="11906" w:h="16838"/>
          <w:pgMar w:top="1134" w:right="1134" w:bottom="1134" w:left="1134" w:header="851" w:footer="725" w:gutter="0"/>
          <w:pgNumType w:fmt="decimal"/>
          <w:cols w:space="720" w:num="2"/>
          <w:titlePg/>
          <w:docGrid w:type="lines" w:linePitch="312" w:charSpace="0"/>
        </w:sectPr>
      </w:pPr>
    </w:p>
    <w:p>
      <w:pPr>
        <w:jc w:val="center"/>
        <w:rPr>
          <w:rFonts w:ascii="楷体_GB2312" w:hAnsi="宋体" w:eastAsia="楷体_GB2312"/>
          <w:b/>
          <w:color w:val="auto"/>
          <w:sz w:val="84"/>
          <w:szCs w:val="84"/>
          <w:highlight w:val="none"/>
        </w:rPr>
      </w:pPr>
    </w:p>
    <w:p>
      <w:pPr>
        <w:jc w:val="center"/>
        <w:rPr>
          <w:rFonts w:ascii="楷体_GB2312" w:hAnsi="宋体" w:eastAsia="楷体_GB2312"/>
          <w:b/>
          <w:color w:val="auto"/>
          <w:sz w:val="84"/>
          <w:szCs w:val="84"/>
          <w:highlight w:val="none"/>
        </w:rPr>
      </w:pPr>
    </w:p>
    <w:p>
      <w:pPr>
        <w:jc w:val="center"/>
        <w:rPr>
          <w:rFonts w:ascii="楷体_GB2312" w:hAnsi="宋体" w:eastAsia="楷体_GB2312"/>
          <w:b/>
          <w:color w:val="auto"/>
          <w:sz w:val="84"/>
          <w:szCs w:val="84"/>
          <w:highlight w:val="none"/>
        </w:rPr>
      </w:pPr>
    </w:p>
    <w:p>
      <w:pPr>
        <w:jc w:val="center"/>
        <w:rPr>
          <w:rFonts w:ascii="楷体_GB2312" w:hAnsi="宋体" w:eastAsia="楷体_GB2312"/>
          <w:b/>
          <w:color w:val="auto"/>
          <w:sz w:val="84"/>
          <w:szCs w:val="84"/>
          <w:highlight w:val="none"/>
        </w:rPr>
      </w:pPr>
      <w:r>
        <w:rPr>
          <w:rFonts w:hint="eastAsia" w:ascii="楷体_GB2312" w:hAnsi="宋体" w:eastAsia="楷体_GB2312"/>
          <w:b/>
          <w:color w:val="auto"/>
          <w:sz w:val="84"/>
          <w:szCs w:val="84"/>
          <w:highlight w:val="none"/>
        </w:rPr>
        <w:t>合  同  书</w:t>
      </w:r>
    </w:p>
    <w:p>
      <w:pPr>
        <w:jc w:val="center"/>
        <w:rPr>
          <w:rFonts w:ascii="宋体" w:hAnsi="宋体"/>
          <w:color w:val="auto"/>
          <w:sz w:val="24"/>
          <w:szCs w:val="24"/>
          <w:highlight w:val="none"/>
        </w:rPr>
      </w:pPr>
    </w:p>
    <w:p>
      <w:pPr>
        <w:jc w:val="center"/>
        <w:rPr>
          <w:rFonts w:ascii="宋体" w:hAnsi="宋体"/>
          <w:color w:val="auto"/>
          <w:sz w:val="52"/>
          <w:highlight w:val="none"/>
        </w:rPr>
      </w:pPr>
    </w:p>
    <w:p>
      <w:pPr>
        <w:jc w:val="center"/>
        <w:rPr>
          <w:rFonts w:ascii="宋体" w:hAnsi="宋体"/>
          <w:color w:val="auto"/>
          <w:sz w:val="52"/>
          <w:highlight w:val="none"/>
        </w:rPr>
      </w:pPr>
    </w:p>
    <w:p>
      <w:pPr>
        <w:pStyle w:val="2"/>
        <w:rPr>
          <w:color w:val="auto"/>
          <w:highlight w:val="none"/>
        </w:rPr>
      </w:pPr>
    </w:p>
    <w:p>
      <w:pPr>
        <w:jc w:val="center"/>
        <w:rPr>
          <w:rFonts w:ascii="宋体" w:hAnsi="宋体"/>
          <w:color w:val="auto"/>
          <w:sz w:val="52"/>
          <w:highlight w:val="none"/>
        </w:rPr>
      </w:pPr>
    </w:p>
    <w:p>
      <w:pPr>
        <w:spacing w:line="360" w:lineRule="auto"/>
        <w:ind w:left="3101" w:leftChars="757" w:hanging="1587" w:hangingChars="496"/>
        <w:rPr>
          <w:rFonts w:ascii="宋体" w:hAnsi="宋体"/>
          <w:color w:val="auto"/>
          <w:sz w:val="32"/>
          <w:highlight w:val="none"/>
        </w:rPr>
      </w:pPr>
      <w:r>
        <w:rPr>
          <w:rFonts w:hint="eastAsia" w:ascii="宋体" w:hAnsi="宋体"/>
          <w:color w:val="auto"/>
          <w:sz w:val="32"/>
          <w:highlight w:val="none"/>
        </w:rPr>
        <w:t>合同名称：_________________________________</w:t>
      </w:r>
    </w:p>
    <w:p>
      <w:pPr>
        <w:spacing w:line="360" w:lineRule="auto"/>
        <w:ind w:left="3101" w:leftChars="757" w:hanging="1587" w:hangingChars="496"/>
        <w:rPr>
          <w:rFonts w:ascii="宋体" w:hAnsi="宋体"/>
          <w:color w:val="auto"/>
          <w:sz w:val="32"/>
          <w:highlight w:val="none"/>
        </w:rPr>
      </w:pPr>
      <w:r>
        <w:rPr>
          <w:rFonts w:hint="eastAsia" w:ascii="宋体" w:hAnsi="宋体"/>
          <w:color w:val="auto"/>
          <w:sz w:val="32"/>
          <w:highlight w:val="none"/>
        </w:rPr>
        <w:t>合同编号：_________________________________</w:t>
      </w:r>
    </w:p>
    <w:p>
      <w:pPr>
        <w:spacing w:line="360" w:lineRule="auto"/>
        <w:ind w:left="3101" w:leftChars="757" w:hanging="1587" w:hangingChars="496"/>
        <w:rPr>
          <w:rFonts w:ascii="宋体" w:hAnsi="宋体"/>
          <w:color w:val="auto"/>
          <w:sz w:val="32"/>
          <w:highlight w:val="none"/>
        </w:rPr>
      </w:pPr>
      <w:r>
        <w:rPr>
          <w:rFonts w:hint="eastAsia" w:ascii="宋体" w:hAnsi="宋体"/>
          <w:color w:val="auto"/>
          <w:sz w:val="32"/>
          <w:highlight w:val="none"/>
        </w:rPr>
        <w:t>签订地点：_________________________________</w:t>
      </w:r>
    </w:p>
    <w:p>
      <w:pPr>
        <w:jc w:val="center"/>
        <w:rPr>
          <w:rFonts w:ascii="宋体" w:hAnsi="宋体"/>
          <w:color w:val="auto"/>
          <w:sz w:val="32"/>
          <w:highlight w:val="none"/>
        </w:rPr>
      </w:pPr>
    </w:p>
    <w:p>
      <w:pPr>
        <w:rPr>
          <w:rFonts w:ascii="宋体" w:hAnsi="宋体"/>
          <w:color w:val="auto"/>
          <w:sz w:val="32"/>
          <w:highlight w:val="none"/>
        </w:rPr>
      </w:pPr>
    </w:p>
    <w:p>
      <w:pPr>
        <w:jc w:val="center"/>
        <w:rPr>
          <w:rFonts w:ascii="宋体" w:hAnsi="宋体"/>
          <w:color w:val="auto"/>
          <w:sz w:val="32"/>
          <w:highlight w:val="none"/>
        </w:rPr>
      </w:pPr>
      <w:r>
        <w:rPr>
          <w:rFonts w:hint="eastAsia" w:ascii="宋体" w:hAnsi="宋体"/>
          <w:color w:val="auto"/>
          <w:sz w:val="32"/>
          <w:highlight w:val="none"/>
        </w:rPr>
        <w:t xml:space="preserve">2022年   </w:t>
      </w:r>
      <w:r>
        <w:rPr>
          <w:rFonts w:ascii="宋体" w:hAnsi="宋体"/>
          <w:color w:val="auto"/>
          <w:sz w:val="32"/>
          <w:highlight w:val="none"/>
        </w:rPr>
        <w:t xml:space="preserve"> </w:t>
      </w:r>
      <w:r>
        <w:rPr>
          <w:rFonts w:hint="eastAsia" w:ascii="宋体" w:hAnsi="宋体"/>
          <w:color w:val="auto"/>
          <w:sz w:val="32"/>
          <w:highlight w:val="none"/>
        </w:rPr>
        <w:t>月    日</w:t>
      </w:r>
    </w:p>
    <w:p>
      <w:pPr>
        <w:pStyle w:val="2"/>
        <w:ind w:right="-5140" w:rightChars="-2570"/>
        <w:rPr>
          <w:color w:val="auto"/>
          <w:highlight w:val="none"/>
        </w:rPr>
        <w:sectPr>
          <w:pgSz w:w="11906" w:h="16838"/>
          <w:pgMar w:top="1134" w:right="1134" w:bottom="1134" w:left="1134" w:header="851" w:footer="725" w:gutter="0"/>
          <w:pgNumType w:fmt="decimal"/>
          <w:cols w:space="425" w:num="1"/>
          <w:titlePg/>
          <w:docGrid w:type="lines" w:linePitch="312" w:charSpace="0"/>
        </w:sectPr>
      </w:pPr>
    </w:p>
    <w:p>
      <w:pPr>
        <w:tabs>
          <w:tab w:val="left" w:pos="426"/>
        </w:tabs>
        <w:spacing w:line="360" w:lineRule="auto"/>
        <w:ind w:left="1"/>
        <w:rPr>
          <w:rFonts w:ascii="宋体" w:hAnsi="宋体" w:cs="宋体"/>
          <w:color w:val="auto"/>
          <w:sz w:val="21"/>
          <w:szCs w:val="21"/>
          <w:highlight w:val="none"/>
        </w:rPr>
      </w:pPr>
      <w:r>
        <w:rPr>
          <w:rFonts w:hint="eastAsia" w:ascii="宋体" w:hAnsi="宋体" w:cs="宋体"/>
          <w:color w:val="auto"/>
          <w:sz w:val="21"/>
          <w:szCs w:val="21"/>
          <w:highlight w:val="none"/>
        </w:rPr>
        <w:t xml:space="preserve">甲    方（甲方）：                   </w:t>
      </w:r>
    </w:p>
    <w:p>
      <w:pPr>
        <w:tabs>
          <w:tab w:val="left" w:pos="426"/>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p>
    <w:p>
      <w:pPr>
        <w:tabs>
          <w:tab w:val="left" w:pos="426"/>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电    话：</w:t>
      </w:r>
    </w:p>
    <w:p>
      <w:pPr>
        <w:tabs>
          <w:tab w:val="left" w:pos="426"/>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电子邮箱：</w:t>
      </w:r>
    </w:p>
    <w:p>
      <w:pPr>
        <w:tabs>
          <w:tab w:val="left" w:pos="426"/>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通讯地址：</w:t>
      </w:r>
    </w:p>
    <w:p>
      <w:pPr>
        <w:tabs>
          <w:tab w:val="left" w:pos="426"/>
        </w:tabs>
        <w:spacing w:line="360" w:lineRule="auto"/>
        <w:rPr>
          <w:rFonts w:ascii="宋体" w:hAnsi="宋体" w:cs="宋体"/>
          <w:color w:val="auto"/>
          <w:sz w:val="21"/>
          <w:szCs w:val="21"/>
          <w:highlight w:val="none"/>
        </w:rPr>
      </w:pPr>
    </w:p>
    <w:p>
      <w:pPr>
        <w:tabs>
          <w:tab w:val="left" w:pos="426"/>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乙    方（乙方）：</w:t>
      </w:r>
    </w:p>
    <w:p>
      <w:pPr>
        <w:tabs>
          <w:tab w:val="left" w:pos="426"/>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p>
    <w:p>
      <w:pPr>
        <w:tabs>
          <w:tab w:val="left" w:pos="426"/>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电    话：</w:t>
      </w:r>
    </w:p>
    <w:p>
      <w:pPr>
        <w:tabs>
          <w:tab w:val="left" w:pos="426"/>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电子邮箱：</w:t>
      </w:r>
    </w:p>
    <w:p>
      <w:pPr>
        <w:tabs>
          <w:tab w:val="left" w:pos="426"/>
        </w:tabs>
        <w:spacing w:line="360" w:lineRule="auto"/>
        <w:rPr>
          <w:rFonts w:ascii="宋体" w:hAnsi="宋体" w:cs="宋体"/>
          <w:color w:val="auto"/>
          <w:sz w:val="21"/>
          <w:szCs w:val="21"/>
          <w:highlight w:val="none"/>
        </w:rPr>
        <w:sectPr>
          <w:pgSz w:w="11906" w:h="16838"/>
          <w:pgMar w:top="1134" w:right="1134" w:bottom="1134" w:left="1134" w:header="851" w:footer="725" w:gutter="0"/>
          <w:pgNumType w:fmt="decimal"/>
          <w:cols w:space="720" w:num="2"/>
          <w:titlePg/>
          <w:docGrid w:type="lines" w:linePitch="312" w:charSpace="0"/>
        </w:sectPr>
      </w:pPr>
      <w:r>
        <w:rPr>
          <w:rFonts w:hint="eastAsia" w:ascii="宋体" w:hAnsi="宋体" w:cs="宋体"/>
          <w:color w:val="auto"/>
          <w:sz w:val="21"/>
          <w:szCs w:val="21"/>
          <w:highlight w:val="none"/>
        </w:rPr>
        <w:t>通讯地址：</w:t>
      </w:r>
    </w:p>
    <w:p>
      <w:pPr>
        <w:tabs>
          <w:tab w:val="left" w:pos="426"/>
        </w:tabs>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根据中山市火炬科学技术学校小卖部承包经营项目（项目编号：FH2022CG0113）的招标结果，《中华人民共和国民法典》的规定，经双方协商，本着平等互利和诚实信用的原则，一致同意签订本合同如下。</w:t>
      </w:r>
    </w:p>
    <w:p>
      <w:pPr>
        <w:numPr>
          <w:ilvl w:val="0"/>
          <w:numId w:val="29"/>
        </w:numPr>
        <w:tabs>
          <w:tab w:val="left" w:pos="426"/>
        </w:tabs>
        <w:autoSpaceDE/>
        <w:autoSpaceDN/>
        <w:snapToGrid w:val="0"/>
        <w:spacing w:line="360" w:lineRule="auto"/>
        <w:ind w:left="0" w:firstLine="0"/>
        <w:jc w:val="both"/>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合同价</w:t>
      </w:r>
    </w:p>
    <w:p>
      <w:pPr>
        <w:numPr>
          <w:ilvl w:val="0"/>
          <w:numId w:val="30"/>
        </w:numPr>
        <w:tabs>
          <w:tab w:val="left" w:pos="720"/>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合同折扣率：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%。乙方销售价=经确定的市场单价×合同折扣率。</w:t>
      </w:r>
    </w:p>
    <w:p>
      <w:pPr>
        <w:numPr>
          <w:ilvl w:val="0"/>
          <w:numId w:val="30"/>
        </w:numPr>
        <w:tabs>
          <w:tab w:val="left" w:pos="720"/>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折扣率包括货物、包装、运输、保险、税费、经营承包及其他所有相关服务费用。</w:t>
      </w:r>
    </w:p>
    <w:p>
      <w:pPr>
        <w:numPr>
          <w:ilvl w:val="0"/>
          <w:numId w:val="30"/>
        </w:numPr>
        <w:tabs>
          <w:tab w:val="left" w:pos="720"/>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乙方应提供优惠的价格，即不能高于当月市场的平均价格或政府指导价，价格表甲方每月确认一次，通过市场调查（以华润万家、沃尔玛、壹加壹超市平均零售价格为准），由双方确定市场单价。</w:t>
      </w:r>
    </w:p>
    <w:p>
      <w:pPr>
        <w:numPr>
          <w:ilvl w:val="0"/>
          <w:numId w:val="30"/>
        </w:numPr>
        <w:tabs>
          <w:tab w:val="left" w:pos="720"/>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由乙方承包及负责合同对乙方要求的一切事宜及责任，自负盈亏，甲方不再支付任何费用补贴。</w:t>
      </w:r>
    </w:p>
    <w:p>
      <w:pPr>
        <w:numPr>
          <w:ilvl w:val="0"/>
          <w:numId w:val="30"/>
        </w:numPr>
        <w:tabs>
          <w:tab w:val="left" w:pos="720"/>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水、电费按市价标准根据实际使用量收取，由中标人支付。</w:t>
      </w:r>
    </w:p>
    <w:p>
      <w:pPr>
        <w:numPr>
          <w:ilvl w:val="0"/>
          <w:numId w:val="29"/>
        </w:numPr>
        <w:tabs>
          <w:tab w:val="left" w:pos="426"/>
        </w:tabs>
        <w:autoSpaceDE/>
        <w:autoSpaceDN/>
        <w:snapToGrid w:val="0"/>
        <w:spacing w:line="360" w:lineRule="auto"/>
        <w:ind w:left="0" w:firstLine="0"/>
        <w:jc w:val="both"/>
        <w:rPr>
          <w:color w:val="auto"/>
          <w:highlight w:val="none"/>
        </w:rPr>
      </w:pPr>
      <w:r>
        <w:rPr>
          <w:rFonts w:hint="eastAsia" w:ascii="宋体" w:hAnsi="宋体" w:cs="宋体"/>
          <w:b/>
          <w:color w:val="auto"/>
          <w:sz w:val="21"/>
          <w:szCs w:val="21"/>
          <w:highlight w:val="none"/>
        </w:rPr>
        <w:t>项目具体内容及要求：</w:t>
      </w:r>
    </w:p>
    <w:p>
      <w:pPr>
        <w:pStyle w:val="19"/>
        <w:numPr>
          <w:ilvl w:val="0"/>
          <w:numId w:val="31"/>
        </w:numPr>
        <w:tabs>
          <w:tab w:val="left" w:pos="400"/>
        </w:tabs>
        <w:ind w:firstLine="0"/>
        <w:rPr>
          <w:rFonts w:ascii="宋体" w:hAnsi="宋体" w:cs="宋体"/>
          <w:b/>
          <w:color w:val="auto"/>
          <w:highlight w:val="none"/>
        </w:rPr>
      </w:pPr>
      <w:r>
        <w:rPr>
          <w:rFonts w:hint="eastAsia" w:ascii="宋体" w:hAnsi="宋体" w:cs="宋体"/>
          <w:b/>
          <w:color w:val="auto"/>
          <w:highlight w:val="none"/>
        </w:rPr>
        <w:t>总则</w:t>
      </w:r>
    </w:p>
    <w:p>
      <w:pPr>
        <w:numPr>
          <w:ilvl w:val="0"/>
          <w:numId w:val="32"/>
        </w:numPr>
        <w:tabs>
          <w:tab w:val="left" w:pos="424"/>
        </w:tabs>
        <w:spacing w:line="460" w:lineRule="atLeast"/>
        <w:rPr>
          <w:rFonts w:ascii="宋体" w:hAnsi="宋体" w:cs="宋体"/>
          <w:color w:val="auto"/>
          <w:sz w:val="21"/>
          <w:szCs w:val="21"/>
          <w:highlight w:val="none"/>
        </w:rPr>
      </w:pPr>
      <w:r>
        <w:rPr>
          <w:rFonts w:hint="eastAsia" w:ascii="宋体" w:hAnsi="宋体" w:cs="宋体"/>
          <w:color w:val="auto"/>
          <w:sz w:val="21"/>
          <w:szCs w:val="21"/>
          <w:highlight w:val="none"/>
        </w:rPr>
        <w:t>项目范围：中山市火炬科学技术学校开发区校区、南朗校区</w:t>
      </w:r>
      <w:r>
        <w:rPr>
          <w:rFonts w:hint="eastAsia" w:ascii="宋体" w:hAnsi="宋体" w:cs="宋体"/>
          <w:color w:val="auto"/>
          <w:kern w:val="28"/>
          <w:sz w:val="21"/>
          <w:szCs w:val="21"/>
          <w:highlight w:val="none"/>
        </w:rPr>
        <w:t>小卖部</w:t>
      </w:r>
      <w:r>
        <w:rPr>
          <w:rFonts w:hint="eastAsia" w:ascii="宋体" w:hAnsi="宋体" w:cs="宋体"/>
          <w:color w:val="auto"/>
          <w:sz w:val="21"/>
          <w:szCs w:val="21"/>
          <w:highlight w:val="none"/>
        </w:rPr>
        <w:t>承包经营权。</w:t>
      </w:r>
    </w:p>
    <w:p>
      <w:pPr>
        <w:numPr>
          <w:ilvl w:val="0"/>
          <w:numId w:val="32"/>
        </w:numPr>
        <w:tabs>
          <w:tab w:val="left" w:pos="424"/>
        </w:tabs>
        <w:spacing w:line="460" w:lineRule="atLeast"/>
        <w:rPr>
          <w:rFonts w:ascii="宋体" w:hAnsi="宋体" w:cs="宋体"/>
          <w:color w:val="auto"/>
          <w:sz w:val="21"/>
          <w:szCs w:val="21"/>
          <w:highlight w:val="none"/>
        </w:rPr>
      </w:pPr>
      <w:r>
        <w:rPr>
          <w:rFonts w:hint="eastAsia" w:ascii="宋体" w:hAnsi="宋体" w:cs="宋体"/>
          <w:color w:val="auto"/>
          <w:sz w:val="21"/>
          <w:szCs w:val="21"/>
          <w:highlight w:val="none"/>
        </w:rPr>
        <w:t>学校概况：中山市火炬科学技术学校是一所全日制公办省级重点职业学校，坐落于粤港澳大湾区腹地的中山市东部片区。学校实行一校两区办学，现有开发区和南朗两个校区。学校占地面积近200亩，建筑面积近8万平方米。两校区现有在编在职教职员工188人，学生3341人，共71个班级，高三级学生顶岗实习不在学校。</w:t>
      </w:r>
    </w:p>
    <w:p>
      <w:pPr>
        <w:numPr>
          <w:ilvl w:val="0"/>
          <w:numId w:val="32"/>
        </w:numPr>
        <w:tabs>
          <w:tab w:val="left" w:pos="424"/>
        </w:tabs>
        <w:spacing w:line="460" w:lineRule="atLeast"/>
        <w:rPr>
          <w:rFonts w:ascii="宋体" w:hAnsi="宋体" w:cs="宋体"/>
          <w:color w:val="auto"/>
          <w:sz w:val="21"/>
          <w:szCs w:val="21"/>
          <w:highlight w:val="none"/>
        </w:rPr>
      </w:pPr>
      <w:r>
        <w:rPr>
          <w:rFonts w:hint="eastAsia" w:ascii="宋体" w:hAnsi="宋体" w:cs="宋体"/>
          <w:color w:val="auto"/>
          <w:sz w:val="21"/>
          <w:szCs w:val="21"/>
          <w:highlight w:val="none"/>
        </w:rPr>
        <w:t>采用全包干的方式承包，由乙方承包及负责招标文件对乙方要求的一切事宜及责任，自负盈亏。乙方工作人员的工资福利、工伤赔偿、社保等由乙方负责。</w:t>
      </w:r>
    </w:p>
    <w:p>
      <w:pPr>
        <w:numPr>
          <w:ilvl w:val="0"/>
          <w:numId w:val="32"/>
        </w:numPr>
        <w:tabs>
          <w:tab w:val="left" w:pos="424"/>
        </w:tabs>
        <w:spacing w:line="460" w:lineRule="atLeast"/>
        <w:rPr>
          <w:rFonts w:ascii="宋体" w:hAnsi="宋体" w:cs="宋体"/>
          <w:color w:val="auto"/>
          <w:sz w:val="21"/>
          <w:szCs w:val="21"/>
          <w:highlight w:val="none"/>
        </w:rPr>
      </w:pPr>
      <w:r>
        <w:rPr>
          <w:rFonts w:hint="eastAsia" w:ascii="宋体" w:hAnsi="宋体" w:cs="宋体"/>
          <w:color w:val="auto"/>
          <w:sz w:val="21"/>
          <w:szCs w:val="21"/>
          <w:highlight w:val="none"/>
        </w:rPr>
        <w:t>乙方不得再以任何方式转包或分包。乙方工作人员需遵守相关法律法规及校规校纪，要有良好的服务态度，不能与师生发生争吵或冲突，如发现违规者或收到师生投诉的，甲方有权视情节提出处理意见，如严重影响学校正常校园管理工作，甲方有权与乙方解除服务合同，乙方收到解除合同通知后应按规定时间撤场。</w:t>
      </w:r>
    </w:p>
    <w:p>
      <w:pPr>
        <w:numPr>
          <w:ilvl w:val="0"/>
          <w:numId w:val="32"/>
        </w:numPr>
        <w:tabs>
          <w:tab w:val="left" w:pos="424"/>
        </w:tabs>
        <w:spacing w:line="460" w:lineRule="atLeast"/>
        <w:rPr>
          <w:rFonts w:ascii="宋体" w:hAnsi="宋体" w:cs="宋体"/>
          <w:color w:val="auto"/>
          <w:sz w:val="21"/>
          <w:szCs w:val="21"/>
          <w:highlight w:val="none"/>
        </w:rPr>
      </w:pPr>
      <w:r>
        <w:rPr>
          <w:rFonts w:hint="eastAsia" w:ascii="宋体" w:hAnsi="宋体" w:cs="宋体"/>
          <w:b/>
          <w:bCs/>
          <w:color w:val="auto"/>
          <w:sz w:val="21"/>
          <w:szCs w:val="21"/>
          <w:highlight w:val="none"/>
        </w:rPr>
        <w:t>甲方有权按照上级文件规定实时修订合同内容，乙方应无条件同意，同时承担因修订合同内容导致的售卖收入减少等风险。</w:t>
      </w:r>
    </w:p>
    <w:p>
      <w:pPr>
        <w:numPr>
          <w:ilvl w:val="0"/>
          <w:numId w:val="32"/>
        </w:numPr>
        <w:tabs>
          <w:tab w:val="left" w:pos="424"/>
        </w:tabs>
        <w:spacing w:line="460" w:lineRule="atLeast"/>
        <w:rPr>
          <w:rFonts w:ascii="宋体" w:hAnsi="宋体" w:cs="宋体"/>
          <w:color w:val="auto"/>
          <w:sz w:val="21"/>
          <w:szCs w:val="21"/>
          <w:highlight w:val="none"/>
        </w:rPr>
      </w:pPr>
      <w:r>
        <w:rPr>
          <w:rFonts w:hint="eastAsia" w:ascii="宋体" w:hAnsi="宋体" w:cs="宋体"/>
          <w:color w:val="auto"/>
          <w:sz w:val="21"/>
          <w:szCs w:val="21"/>
          <w:highlight w:val="none"/>
        </w:rPr>
        <w:t>投标人承诺：经营者的经营活动必须遵循《中华人民共和国食品安全法》等相关法律法规，保证进货渠道为合法进货渠道，如承包期间发生食品安全事故的，乙方应承担全部责任，包括但不限于消费者的索赔及甲方因此受到的损失。</w:t>
      </w:r>
    </w:p>
    <w:p>
      <w:pPr>
        <w:numPr>
          <w:ilvl w:val="0"/>
          <w:numId w:val="32"/>
        </w:numPr>
        <w:tabs>
          <w:tab w:val="left" w:pos="424"/>
        </w:tabs>
        <w:spacing w:line="460" w:lineRule="atLeast"/>
        <w:rPr>
          <w:rFonts w:ascii="宋体" w:hAnsi="宋体" w:cs="宋体"/>
          <w:color w:val="auto"/>
          <w:sz w:val="21"/>
          <w:szCs w:val="21"/>
          <w:highlight w:val="none"/>
        </w:rPr>
      </w:pPr>
      <w:r>
        <w:rPr>
          <w:rFonts w:hint="eastAsia" w:ascii="宋体" w:hAnsi="宋体" w:cs="宋体"/>
          <w:color w:val="auto"/>
          <w:sz w:val="21"/>
          <w:szCs w:val="21"/>
          <w:highlight w:val="none"/>
        </w:rPr>
        <w:t>各潜在投标人可自行对项目现场及周围环境进行勘察，以便投标人获取有关编制投标文件和签署合同所需的资料，勘察现场所发生的费用由投标人自己承担。</w:t>
      </w:r>
    </w:p>
    <w:p>
      <w:pPr>
        <w:pStyle w:val="19"/>
        <w:numPr>
          <w:ilvl w:val="0"/>
          <w:numId w:val="31"/>
        </w:numPr>
        <w:tabs>
          <w:tab w:val="left" w:pos="400"/>
        </w:tabs>
        <w:ind w:firstLine="0"/>
        <w:rPr>
          <w:rFonts w:ascii="宋体" w:hAnsi="宋体" w:cs="宋体"/>
          <w:b/>
          <w:color w:val="auto"/>
          <w:sz w:val="21"/>
          <w:szCs w:val="21"/>
          <w:highlight w:val="none"/>
        </w:rPr>
      </w:pPr>
      <w:r>
        <w:rPr>
          <w:rFonts w:hint="eastAsia" w:ascii="宋体" w:hAnsi="宋体" w:cs="宋体"/>
          <w:b/>
          <w:color w:val="auto"/>
          <w:sz w:val="21"/>
          <w:szCs w:val="21"/>
          <w:highlight w:val="none"/>
        </w:rPr>
        <w:t>项目具体要求</w:t>
      </w:r>
    </w:p>
    <w:p>
      <w:pPr>
        <w:numPr>
          <w:ilvl w:val="6"/>
          <w:numId w:val="13"/>
        </w:numPr>
        <w:tabs>
          <w:tab w:val="left" w:pos="424"/>
          <w:tab w:val="clear" w:pos="3240"/>
        </w:tabs>
        <w:spacing w:line="360" w:lineRule="auto"/>
        <w:ind w:left="424" w:hanging="424"/>
        <w:rPr>
          <w:rFonts w:ascii="宋体" w:hAnsi="宋体" w:cs="宋体"/>
          <w:color w:val="auto"/>
          <w:sz w:val="21"/>
          <w:szCs w:val="21"/>
          <w:highlight w:val="none"/>
        </w:rPr>
      </w:pPr>
      <w:r>
        <w:rPr>
          <w:rFonts w:hint="eastAsia" w:ascii="宋体" w:hAnsi="宋体" w:cs="宋体"/>
          <w:color w:val="auto"/>
          <w:sz w:val="21"/>
          <w:szCs w:val="21"/>
          <w:highlight w:val="none"/>
        </w:rPr>
        <w:t>经营范围：</w:t>
      </w:r>
    </w:p>
    <w:p>
      <w:pPr>
        <w:spacing w:line="360" w:lineRule="auto"/>
        <w:ind w:left="400" w:leftChars="200"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经营范围为纯净水、矿泉水、牛奶</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牛奶蛋白质含量要求：每100毫升牛奶的蛋白质含量必须大于2.5克。如需增加售卖其它食品，甲方按照上级文件规定，另行与乙方签订补充协议及售卖清单后方能上架售卖。</w:t>
      </w:r>
    </w:p>
    <w:p>
      <w:pPr>
        <w:numPr>
          <w:ilvl w:val="6"/>
          <w:numId w:val="13"/>
        </w:numPr>
        <w:tabs>
          <w:tab w:val="left" w:pos="424"/>
          <w:tab w:val="clear" w:pos="3240"/>
        </w:tabs>
        <w:spacing w:line="360" w:lineRule="auto"/>
        <w:ind w:left="424" w:hanging="424"/>
        <w:rPr>
          <w:rFonts w:ascii="宋体" w:hAnsi="宋体" w:cs="宋体"/>
          <w:color w:val="auto"/>
          <w:sz w:val="21"/>
          <w:szCs w:val="21"/>
          <w:highlight w:val="none"/>
        </w:rPr>
      </w:pPr>
      <w:r>
        <w:rPr>
          <w:rFonts w:hint="eastAsia" w:ascii="宋体" w:hAnsi="宋体" w:cs="宋体"/>
          <w:color w:val="auto"/>
          <w:sz w:val="21"/>
          <w:szCs w:val="21"/>
          <w:highlight w:val="none"/>
        </w:rPr>
        <w:t>经营方式：</w:t>
      </w:r>
    </w:p>
    <w:p>
      <w:pPr>
        <w:spacing w:line="360" w:lineRule="auto"/>
        <w:ind w:left="40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在甲方的监督下，中标者自行组织人员、自主经营、自负盈亏，对外独立承担法律责任。</w:t>
      </w:r>
    </w:p>
    <w:p>
      <w:pPr>
        <w:numPr>
          <w:ilvl w:val="6"/>
          <w:numId w:val="13"/>
        </w:numPr>
        <w:tabs>
          <w:tab w:val="left" w:pos="424"/>
          <w:tab w:val="clear" w:pos="3240"/>
        </w:tabs>
        <w:spacing w:line="360" w:lineRule="auto"/>
        <w:ind w:left="424" w:hanging="424"/>
        <w:rPr>
          <w:rFonts w:ascii="宋体" w:hAnsi="宋体" w:cs="宋体"/>
          <w:color w:val="auto"/>
          <w:sz w:val="21"/>
          <w:szCs w:val="21"/>
          <w:highlight w:val="none"/>
        </w:rPr>
      </w:pPr>
      <w:r>
        <w:rPr>
          <w:rFonts w:hint="eastAsia" w:ascii="宋体" w:hAnsi="宋体" w:cs="宋体"/>
          <w:color w:val="auto"/>
          <w:sz w:val="21"/>
          <w:szCs w:val="21"/>
          <w:highlight w:val="none"/>
        </w:rPr>
        <w:t>承包期限：</w:t>
      </w:r>
    </w:p>
    <w:p>
      <w:pPr>
        <w:spacing w:line="360" w:lineRule="auto"/>
        <w:ind w:left="40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合同总承包期为3年。采用1+1+1的方式：中标后签订一年承包合同；甲方成立工作监督小组，由监督小组负责民意调查。一年后民意调查满意度达80%以上，再续一年，以此类推，直至三年。如果不达标，甲方有权解除合同。承包到期，乙方须自动将全部设施、货物搬出。否则甲方有权采取强制措施将其搬出，不作任何补偿，因强制措施搬离的费用由乙方承担。</w:t>
      </w:r>
    </w:p>
    <w:p>
      <w:pPr>
        <w:numPr>
          <w:ilvl w:val="6"/>
          <w:numId w:val="13"/>
        </w:numPr>
        <w:tabs>
          <w:tab w:val="left" w:pos="424"/>
          <w:tab w:val="clear" w:pos="3240"/>
        </w:tabs>
        <w:spacing w:line="360" w:lineRule="auto"/>
        <w:ind w:left="424" w:hanging="424"/>
        <w:rPr>
          <w:rFonts w:ascii="宋体" w:hAnsi="宋体" w:cs="宋体"/>
          <w:color w:val="auto"/>
          <w:sz w:val="21"/>
          <w:szCs w:val="21"/>
          <w:highlight w:val="none"/>
        </w:rPr>
      </w:pPr>
      <w:r>
        <w:rPr>
          <w:rFonts w:hint="eastAsia" w:ascii="宋体" w:hAnsi="宋体" w:cs="宋体"/>
          <w:color w:val="auto"/>
          <w:sz w:val="21"/>
          <w:szCs w:val="21"/>
          <w:highlight w:val="none"/>
        </w:rPr>
        <w:t>经营要求：</w:t>
      </w:r>
    </w:p>
    <w:p>
      <w:pPr>
        <w:numPr>
          <w:ilvl w:val="0"/>
          <w:numId w:val="3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乙方必须是连锁经营实体的直营店或者自营实体门店，乙方必须依法办理本项目经营所需的相关证照，确保证照齐全，合法经营。有关商店经营许可证、有关部门的检查以及经营相关的管理税费、保险费等由乙方自行负责。</w:t>
      </w:r>
    </w:p>
    <w:p>
      <w:pPr>
        <w:numPr>
          <w:ilvl w:val="0"/>
          <w:numId w:val="3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乙方必须自主自行经营，不得以任何方式转包、分包或转租他人，不得以挂靠方式进行经营，一经发现，甲方有权立即终止合同，所产生的一切后果均由乙方自行承担。</w:t>
      </w:r>
    </w:p>
    <w:p>
      <w:pPr>
        <w:numPr>
          <w:ilvl w:val="0"/>
          <w:numId w:val="3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乙方须以甲方整体配套项目为经营目的，配合甲方服务作为经营宗旨，并服从甲方管理、监督。</w:t>
      </w:r>
    </w:p>
    <w:p>
      <w:pPr>
        <w:numPr>
          <w:ilvl w:val="0"/>
          <w:numId w:val="3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乙方营业前，须自行办理经营小卖部的各种证照（即工商营业执照、卫生许可证、税务登记证等），由甲方协助提供相关资料。</w:t>
      </w:r>
    </w:p>
    <w:p>
      <w:pPr>
        <w:numPr>
          <w:ilvl w:val="0"/>
          <w:numId w:val="33"/>
        </w:numPr>
        <w:spacing w:line="360" w:lineRule="auto"/>
        <w:rPr>
          <w:rFonts w:ascii="宋体" w:hAnsi="宋体" w:cs="宋体"/>
          <w:color w:val="auto"/>
          <w:sz w:val="21"/>
          <w:szCs w:val="21"/>
          <w:highlight w:val="none"/>
        </w:rPr>
      </w:pPr>
      <w:r>
        <w:rPr>
          <w:rFonts w:hint="eastAsia" w:ascii="宋体" w:hAnsi="宋体" w:cs="宋体"/>
          <w:b/>
          <w:bCs/>
          <w:color w:val="auto"/>
          <w:sz w:val="21"/>
          <w:szCs w:val="21"/>
          <w:highlight w:val="none"/>
        </w:rPr>
        <w:t>乙方须严格遵守学校各项规章制度，不得售卖假冒伪劣商品、过期变质商品和高盐、高糖及高脂肪食品、酒精饮料、方便面等无益健康的食品，禁止售卖“三无食品”、“五毛食品”（即“价格低廉，口感辛辣刺激，色泽艳丽”的“调味面制品（辣条）、豆制品、肉制品、水产制品、膨化食品、糖果、饮料等”）、散装食品、自制熟食等，不销售碳酸饮料，不得超许可范围加工烤肠、冷饮、奶茶、豆浆等食品；不得向学生销售玩具，不得对含糖饮料、调味面制品等零食进行广告宣传。因出售上述产品致使消费者受到损害的，由乙方承担全部赔偿责任。</w:t>
      </w:r>
    </w:p>
    <w:p>
      <w:pPr>
        <w:numPr>
          <w:ilvl w:val="0"/>
          <w:numId w:val="33"/>
        </w:numPr>
        <w:spacing w:line="360" w:lineRule="auto"/>
        <w:rPr>
          <w:color w:val="auto"/>
          <w:highlight w:val="none"/>
        </w:rPr>
      </w:pPr>
      <w:r>
        <w:rPr>
          <w:rFonts w:hint="eastAsia" w:ascii="宋体" w:hAnsi="宋体" w:cs="宋体"/>
          <w:color w:val="auto"/>
          <w:sz w:val="21"/>
          <w:szCs w:val="21"/>
          <w:highlight w:val="none"/>
        </w:rPr>
        <w:t>乙方出售所有食品必须符合《中华人民共和国食品卫生法》，严禁出售发霉、变质、伪劣及过期商品，如有发现，校方有权报卫生监督部门处理并即时销毁。如出现安全事故，即时取消经营资格，并追究相关的法律责任，由此而产生的后果由乙方负责。</w:t>
      </w:r>
    </w:p>
    <w:p>
      <w:pPr>
        <w:numPr>
          <w:ilvl w:val="0"/>
          <w:numId w:val="3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若师生因饮食小卖部的食品而食物中毒或出现其它事故，由乙方承担全部责任。情节严重的，甲方有权终止合同。                                                                                                                                                                                                                                                                                                                                                                                                                                                  </w:t>
      </w:r>
    </w:p>
    <w:p>
      <w:pPr>
        <w:numPr>
          <w:ilvl w:val="0"/>
          <w:numId w:val="3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严格遵守甲方作息及开放时间营业期间不得影响学生的上课。做好门前相关的卫生清洁工作。乙方须注意道德行为规范，店面从业人员要衣着整洁，注意仪表，配合甲方做好日常管理工作，接受甲方和上级部门安全、卫生、文明服务规范化等方面的监督管理，店门之外不得堆放任何百货、杂物，不得有任何因乙方经营的商品及其包装物散落乱抛造成的环境破坏。小卖部门前三包、四周50米以内的环境卫生归乙方负责打扫。</w:t>
      </w:r>
    </w:p>
    <w:p>
      <w:pPr>
        <w:numPr>
          <w:ilvl w:val="0"/>
          <w:numId w:val="3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乙方经营时间：具体经营时间由学校根据实际情况进行调整，乙方无条件服从。学生正常在校时间必须保证所有营业场所正常开放；逢节假日或学校有特殊要求时必须无条件按照学校要求对营业时间进行调整；营业时间不得随意提前或延后。</w:t>
      </w:r>
    </w:p>
    <w:p>
      <w:pPr>
        <w:numPr>
          <w:ilvl w:val="0"/>
          <w:numId w:val="3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乙方必须搞好经营场地及附近环境清洁，及时清扫食品袋、纸盒、塑料瓶、雪糕筒及杂物垃圾，做好防鼠、防蝇、防蟑螂的工作。</w:t>
      </w:r>
    </w:p>
    <w:p>
      <w:pPr>
        <w:numPr>
          <w:ilvl w:val="0"/>
          <w:numId w:val="3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乙方有责任协助学校搞好治安保卫工作，不得容许任何人在经营场地内赌博、闹事等，并协助机房搞好后勤工作。在经营期间出现任何事故的，一切责任由乙方负责。</w:t>
      </w:r>
    </w:p>
    <w:p>
      <w:pPr>
        <w:numPr>
          <w:ilvl w:val="0"/>
          <w:numId w:val="3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小卖部的水电费应实行单独计量，由乙方向有关部门缴纳水电费或将水电费转交给甲方，由甲方代缴。如逾期拖欠水电费的，甲方有权从逾期之日起收取违约金。</w:t>
      </w:r>
    </w:p>
    <w:p>
      <w:pPr>
        <w:numPr>
          <w:ilvl w:val="0"/>
          <w:numId w:val="3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甲方提供现有场地及属于学校商店现有的全部设备给乙方使用，承包期满如数归还，凡有损坏和损失要如数赔偿；如需添置设备由乙方自行负责。乙方对商店的任何改造、装修等都必须向学校提出书面申请，经校方同意后才能实施。商店内部和外围的设备设施等由乙方负责维护费用自行承担。不得在商店内生火，不得在商店内使用微波炉、烤箱等食品加工设备，不得在商店内进行食品加工行为。</w:t>
      </w:r>
    </w:p>
    <w:p>
      <w:pPr>
        <w:numPr>
          <w:ilvl w:val="0"/>
          <w:numId w:val="3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经营期间，乙方需装修包括水管电线的铺设等应先提供装修方案和图纸并征得甲方书面同意，并且在安全和不影响房屋主要结构的前提下进行，否则出现的安全事故由乙方负全责。因乙方过错导致合同终止或合同期满乙方未再续约的，其自行投资的固定装修物（不动资产）不能拆除，无偿归甲方所有（含天花板装修，水电管线等）。</w:t>
      </w:r>
    </w:p>
    <w:p>
      <w:pPr>
        <w:numPr>
          <w:ilvl w:val="0"/>
          <w:numId w:val="33"/>
        </w:numPr>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签订合同前，乙方须交缴履约保证金为人民币5万元，经营期间无违约，合同期满后甲方不计利息退回保证金，违约按约定处理。</w:t>
      </w:r>
    </w:p>
    <w:p>
      <w:pPr>
        <w:numPr>
          <w:ilvl w:val="0"/>
          <w:numId w:val="3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乙方必须无条件接受学校及上级主管部门的日常管理，积极配合学校及上级相关部门的各项检查等；配备至少一名管理人员，负责与甲方的日常沟通等事宜。</w:t>
      </w:r>
    </w:p>
    <w:p>
      <w:pPr>
        <w:numPr>
          <w:ilvl w:val="0"/>
          <w:numId w:val="3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中标后乙方无正当理由不愿意与甲方签订租赁合同的，应承担缔约过失责任，甲方有权不退回全部保证金。</w:t>
      </w:r>
    </w:p>
    <w:p>
      <w:pPr>
        <w:numPr>
          <w:ilvl w:val="0"/>
          <w:numId w:val="3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乙方在合同签订后，即在经营过程中，自负盈亏。如出现经营不善而亏损时，由乙方自行承担责任，因乙方自行中途退出的，其所交履约保证金将做违约金处理，不予退回，由此造成的全部损失由乙方承担。</w:t>
      </w:r>
    </w:p>
    <w:p>
      <w:pPr>
        <w:numPr>
          <w:ilvl w:val="0"/>
          <w:numId w:val="3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乙方应建立小卖部销售台账，负责对原材料供应商的选择、认证、评审和考核。所有原材料供应商均符合学校的要求，成为备用或选用供应商，每季度对所有供应商的服务进行考核评分，考核指标包括：货品质量、供货的及时性、性价比、响应速度等。对所有合格和被选的供应商签订合作协议、建立档案并索取所有资质资料，以备甲方和相关部门查验。</w:t>
      </w:r>
    </w:p>
    <w:p>
      <w:pPr>
        <w:numPr>
          <w:ilvl w:val="0"/>
          <w:numId w:val="3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乙方所售卖的食品必须有进货单据票据，并按批次进行登记，随时接受甲方的抽查。须保留完整的票据，方便甲方对食品来源进行溯源追踪。</w:t>
      </w:r>
    </w:p>
    <w:p>
      <w:pPr>
        <w:numPr>
          <w:ilvl w:val="0"/>
          <w:numId w:val="33"/>
        </w:numPr>
        <w:spacing w:line="360" w:lineRule="auto"/>
        <w:rPr>
          <w:rFonts w:ascii="宋体" w:hAnsi="宋体" w:cs="宋体"/>
          <w:color w:val="auto"/>
          <w:sz w:val="21"/>
          <w:szCs w:val="21"/>
          <w:highlight w:val="none"/>
        </w:rPr>
      </w:pPr>
      <w:r>
        <w:rPr>
          <w:rFonts w:hint="eastAsia" w:ascii="宋体" w:hAnsi="宋体" w:cs="宋体"/>
          <w:b/>
          <w:bCs/>
          <w:color w:val="auto"/>
          <w:sz w:val="21"/>
          <w:szCs w:val="21"/>
          <w:highlight w:val="none"/>
        </w:rPr>
        <w:t>乙方须投保100万元以上的食品安全责任险，乙方为被保险人，保险有效期应包含本项目合同服务期。投标人须书面承诺中标后，在原保险合同到期时会续保同等或重新投保高于该份保险金额保障的保险；在小卖部正式营业前，须向甲方提供有效期内的保险单复印件加盖公章。</w:t>
      </w:r>
    </w:p>
    <w:p>
      <w:pPr>
        <w:numPr>
          <w:ilvl w:val="0"/>
          <w:numId w:val="3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经营场所内允许乙方增设桌椅等设施，但乙方需勤打扫，保持设施良好干净。合同终止时，乙方需将上述增设设施一并搬离，乙方经通知仍不搬离的，由甲方处理，不作任何补偿。</w:t>
      </w:r>
    </w:p>
    <w:p>
      <w:pPr>
        <w:numPr>
          <w:ilvl w:val="0"/>
          <w:numId w:val="33"/>
        </w:numPr>
        <w:spacing w:line="360" w:lineRule="auto"/>
        <w:rPr>
          <w:rFonts w:ascii="宋体" w:hAnsi="宋体" w:cs="宋体"/>
          <w:b/>
          <w:color w:val="auto"/>
          <w:sz w:val="21"/>
          <w:szCs w:val="21"/>
          <w:highlight w:val="none"/>
        </w:rPr>
      </w:pPr>
      <w:r>
        <w:rPr>
          <w:rFonts w:hint="eastAsia" w:ascii="宋体" w:hAnsi="宋体" w:cs="宋体"/>
          <w:b/>
          <w:bCs/>
          <w:color w:val="auto"/>
          <w:sz w:val="21"/>
          <w:szCs w:val="21"/>
          <w:highlight w:val="none"/>
        </w:rPr>
        <w:t>责任方面：如因乙方所售食物造成的食物中毒等事故，由乙方承担全部法律责任。</w:t>
      </w:r>
    </w:p>
    <w:p>
      <w:pPr>
        <w:numPr>
          <w:ilvl w:val="0"/>
          <w:numId w:val="33"/>
        </w:num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乙方对聘用的员工必须严格管理，对员工的行为负全责。乙方必须将所聘员工身份信息交由甲方到当地派出所核实，避免聘用人员中出现在逃人员等违法现象。乙方如员工违反甲方规定、触犯国家法律等，由乙方承担全部责任。若影响甲方声誉，甲方有权无条件终止合同、收回经营权并没收履约保证金。</w:t>
      </w:r>
    </w:p>
    <w:p>
      <w:pPr>
        <w:numPr>
          <w:ilvl w:val="0"/>
          <w:numId w:val="33"/>
        </w:num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乙方要定期对员工进行安全、卫生要求及操作规程的培训，培训资料交甲方存档。</w:t>
      </w:r>
    </w:p>
    <w:p>
      <w:pPr>
        <w:numPr>
          <w:ilvl w:val="0"/>
          <w:numId w:val="33"/>
        </w:num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乙方必须参加上级举办的各类食品卫生安全、消防安全的会议或相关培训活动。</w:t>
      </w:r>
    </w:p>
    <w:p>
      <w:pPr>
        <w:numPr>
          <w:ilvl w:val="0"/>
          <w:numId w:val="33"/>
        </w:num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乙方必须保证配备足够的工作人员，并统一着装。</w:t>
      </w:r>
    </w:p>
    <w:p>
      <w:pPr>
        <w:numPr>
          <w:ilvl w:val="0"/>
          <w:numId w:val="33"/>
        </w:num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乙方的工作人员必须身体健康并持有卫生防疫部门核发的从业健康证，每年体检一次，费用由乙方自行承担。必须为工作人员购买社保等，不得非法用工。</w:t>
      </w:r>
    </w:p>
    <w:p>
      <w:pPr>
        <w:numPr>
          <w:ilvl w:val="0"/>
          <w:numId w:val="33"/>
        </w:num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乙方与其员工发生劳资纠纷的，由乙方负责，若影响甲方声誉，甲方有权无条件终止合同、收回经营权并没收履约保证金。</w:t>
      </w:r>
    </w:p>
    <w:p>
      <w:pPr>
        <w:numPr>
          <w:ilvl w:val="0"/>
          <w:numId w:val="33"/>
        </w:num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经营期内，经营区域内的一切设备设施由乙方负责管理，包括设施设备的增设、更换和保养等，经营区内必须符合消防安全相关要求，由此生产的一切费用由乙方承担。甲方有权监控管理质量。</w:t>
      </w:r>
    </w:p>
    <w:p>
      <w:pPr>
        <w:numPr>
          <w:ilvl w:val="0"/>
          <w:numId w:val="33"/>
        </w:num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乙方必须允许师生使用甲方校园卡消费。</w:t>
      </w:r>
    </w:p>
    <w:p>
      <w:pPr>
        <w:pStyle w:val="19"/>
        <w:numPr>
          <w:ilvl w:val="0"/>
          <w:numId w:val="31"/>
        </w:numPr>
        <w:tabs>
          <w:tab w:val="left" w:pos="400"/>
        </w:tabs>
        <w:ind w:firstLine="0"/>
        <w:rPr>
          <w:rFonts w:ascii="宋体" w:hAnsi="宋体" w:cs="宋体"/>
          <w:b/>
          <w:color w:val="auto"/>
          <w:sz w:val="21"/>
          <w:szCs w:val="21"/>
          <w:highlight w:val="none"/>
        </w:rPr>
      </w:pPr>
      <w:r>
        <w:rPr>
          <w:rFonts w:hint="eastAsia" w:ascii="宋体" w:hAnsi="宋体" w:cs="宋体"/>
          <w:b/>
          <w:color w:val="auto"/>
          <w:sz w:val="21"/>
          <w:szCs w:val="21"/>
          <w:highlight w:val="none"/>
        </w:rPr>
        <w:t>违约责任和履约保证金</w:t>
      </w:r>
    </w:p>
    <w:p>
      <w:pPr>
        <w:pStyle w:val="19"/>
        <w:numPr>
          <w:ilvl w:val="0"/>
          <w:numId w:val="34"/>
        </w:numPr>
        <w:rPr>
          <w:rFonts w:ascii="宋体" w:hAnsi="宋体" w:cs="宋体"/>
          <w:color w:val="auto"/>
          <w:sz w:val="21"/>
          <w:szCs w:val="21"/>
          <w:highlight w:val="none"/>
        </w:rPr>
      </w:pPr>
      <w:r>
        <w:rPr>
          <w:rFonts w:hint="eastAsia" w:ascii="宋体" w:hAnsi="宋体" w:cs="宋体"/>
          <w:color w:val="auto"/>
          <w:sz w:val="21"/>
          <w:szCs w:val="21"/>
          <w:highlight w:val="none"/>
        </w:rPr>
        <w:t>乙方必须于</w:t>
      </w:r>
      <w:r>
        <w:rPr>
          <w:rFonts w:hint="eastAsia" w:ascii="宋体" w:hAnsi="宋体" w:cs="宋体"/>
          <w:b/>
          <w:bCs/>
          <w:color w:val="auto"/>
          <w:sz w:val="21"/>
          <w:szCs w:val="21"/>
          <w:highlight w:val="none"/>
        </w:rPr>
        <w:t>签订合同前</w:t>
      </w:r>
      <w:r>
        <w:rPr>
          <w:rFonts w:hint="eastAsia" w:ascii="宋体" w:hAnsi="宋体" w:cs="宋体"/>
          <w:color w:val="auto"/>
          <w:sz w:val="21"/>
          <w:szCs w:val="21"/>
          <w:highlight w:val="none"/>
        </w:rPr>
        <w:t>，将履约保证金人民币</w:t>
      </w:r>
      <w:r>
        <w:rPr>
          <w:rFonts w:hint="eastAsia" w:ascii="宋体" w:hAnsi="宋体" w:cs="宋体"/>
          <w:b/>
          <w:bCs/>
          <w:color w:val="auto"/>
          <w:sz w:val="21"/>
          <w:szCs w:val="21"/>
          <w:highlight w:val="none"/>
        </w:rPr>
        <w:t>5万元</w:t>
      </w:r>
      <w:r>
        <w:rPr>
          <w:rFonts w:hint="eastAsia" w:ascii="宋体" w:hAnsi="宋体" w:cs="宋体"/>
          <w:color w:val="auto"/>
          <w:sz w:val="21"/>
          <w:szCs w:val="21"/>
          <w:highlight w:val="none"/>
        </w:rPr>
        <w:t>通过银行转账的形式转入甲方指定账户。</w:t>
      </w:r>
    </w:p>
    <w:p>
      <w:pPr>
        <w:pStyle w:val="19"/>
        <w:numPr>
          <w:ilvl w:val="0"/>
          <w:numId w:val="34"/>
        </w:numPr>
        <w:rPr>
          <w:rFonts w:ascii="宋体" w:hAnsi="宋体" w:cs="宋体"/>
          <w:color w:val="auto"/>
          <w:sz w:val="21"/>
          <w:szCs w:val="21"/>
          <w:highlight w:val="none"/>
        </w:rPr>
      </w:pPr>
      <w:r>
        <w:rPr>
          <w:rFonts w:hint="eastAsia" w:ascii="宋体" w:hAnsi="宋体" w:cs="宋体"/>
          <w:color w:val="auto"/>
          <w:sz w:val="21"/>
          <w:szCs w:val="21"/>
          <w:highlight w:val="none"/>
        </w:rPr>
        <w:t>当出现由于经营引发的师生员工安全事故，甲方有权先动用履约保证金救治，当履约保证金不够支付时，由相关部门裁定其责任及乙方应付的金额。乙方在事件完结后3个工作日内补足相应履约保证金。否则学校有权终止合同、收回经营权并没收履约保证金。</w:t>
      </w:r>
    </w:p>
    <w:p>
      <w:pPr>
        <w:pStyle w:val="19"/>
        <w:numPr>
          <w:ilvl w:val="0"/>
          <w:numId w:val="34"/>
        </w:numPr>
        <w:rPr>
          <w:rFonts w:ascii="宋体" w:hAnsi="宋体" w:cs="宋体"/>
          <w:color w:val="auto"/>
          <w:sz w:val="21"/>
          <w:szCs w:val="21"/>
          <w:highlight w:val="none"/>
        </w:rPr>
      </w:pPr>
      <w:r>
        <w:rPr>
          <w:rFonts w:hint="eastAsia" w:ascii="宋体" w:hAnsi="宋体" w:cs="宋体"/>
          <w:color w:val="auto"/>
          <w:sz w:val="21"/>
          <w:szCs w:val="21"/>
          <w:highlight w:val="none"/>
        </w:rPr>
        <w:t>如乙方违反双方合同约定，甲方有权要求乙方赔偿其违约行为造成的一切实际损失，并支付相当于中标年合同金额10%的违约金，如乙方未能及时交付违约金，甲方有权先从履约保证金中扣除，乙方必须在一个星期内补足相应履约保证金。否则甲方有权终止合同、收回经营权并没收履约保证金。</w:t>
      </w:r>
    </w:p>
    <w:p>
      <w:pPr>
        <w:pStyle w:val="19"/>
        <w:numPr>
          <w:ilvl w:val="0"/>
          <w:numId w:val="34"/>
        </w:numPr>
        <w:rPr>
          <w:rFonts w:ascii="宋体" w:hAnsi="宋体" w:cs="宋体"/>
          <w:color w:val="auto"/>
          <w:sz w:val="21"/>
          <w:szCs w:val="21"/>
          <w:highlight w:val="none"/>
        </w:rPr>
      </w:pPr>
      <w:r>
        <w:rPr>
          <w:rFonts w:hint="eastAsia" w:ascii="宋体" w:hAnsi="宋体" w:cs="宋体"/>
          <w:color w:val="auto"/>
          <w:sz w:val="21"/>
          <w:szCs w:val="21"/>
          <w:highlight w:val="none"/>
        </w:rPr>
        <w:t>履约保证金将在合同期满，乙方结清所有费用（包括合同期间所有债务，产生的水、电费用等），并经学校验收合格后15个工作日内一次性无息退还。如合同期内，乙方自行停止合同或违反合同有关规定被甲方终止合同的，履约保证金将全部归甲方所有。</w:t>
      </w:r>
    </w:p>
    <w:p>
      <w:pPr>
        <w:pStyle w:val="19"/>
        <w:numPr>
          <w:ilvl w:val="0"/>
          <w:numId w:val="31"/>
        </w:numPr>
        <w:tabs>
          <w:tab w:val="left" w:pos="400"/>
        </w:tabs>
        <w:ind w:firstLine="0"/>
        <w:rPr>
          <w:rFonts w:ascii="宋体" w:hAnsi="宋体"/>
          <w:b/>
          <w:color w:val="auto"/>
          <w:szCs w:val="21"/>
          <w:highlight w:val="none"/>
        </w:rPr>
      </w:pPr>
      <w:r>
        <w:rPr>
          <w:rFonts w:hint="eastAsia" w:ascii="宋体" w:hAnsi="宋体"/>
          <w:b/>
          <w:color w:val="auto"/>
          <w:szCs w:val="21"/>
          <w:highlight w:val="none"/>
        </w:rPr>
        <w:t>其它</w:t>
      </w:r>
    </w:p>
    <w:p>
      <w:pPr>
        <w:numPr>
          <w:ilvl w:val="0"/>
          <w:numId w:val="35"/>
        </w:numPr>
        <w:tabs>
          <w:tab w:val="left" w:pos="425"/>
          <w:tab w:val="clear" w:pos="360"/>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特别说明：如因上级政策变化调整，则按照新的文件政策执行，乙方无条件执行。</w:t>
      </w:r>
    </w:p>
    <w:p>
      <w:pPr>
        <w:numPr>
          <w:ilvl w:val="0"/>
          <w:numId w:val="35"/>
        </w:numPr>
        <w:tabs>
          <w:tab w:val="left" w:pos="425"/>
          <w:tab w:val="clear" w:pos="360"/>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处罚：</w:t>
      </w:r>
    </w:p>
    <w:p>
      <w:pPr>
        <w:numPr>
          <w:ilvl w:val="0"/>
          <w:numId w:val="36"/>
        </w:numPr>
        <w:tabs>
          <w:tab w:val="left" w:pos="425"/>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乙方销售商品的价格高于中标规定的折扣价的，处以2倍商品价格的罚款。</w:t>
      </w:r>
    </w:p>
    <w:p>
      <w:pPr>
        <w:numPr>
          <w:ilvl w:val="0"/>
          <w:numId w:val="36"/>
        </w:numPr>
        <w:tabs>
          <w:tab w:val="left" w:pos="425"/>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乙方销售过期或变质等食品，处以10倍商品价格的罚款。</w:t>
      </w:r>
    </w:p>
    <w:p>
      <w:pPr>
        <w:numPr>
          <w:ilvl w:val="0"/>
          <w:numId w:val="29"/>
        </w:numPr>
        <w:tabs>
          <w:tab w:val="left" w:pos="426"/>
        </w:tabs>
        <w:autoSpaceDE/>
        <w:autoSpaceDN/>
        <w:snapToGrid w:val="0"/>
        <w:spacing w:line="360" w:lineRule="auto"/>
        <w:ind w:left="0" w:firstLine="0"/>
        <w:jc w:val="both"/>
        <w:rPr>
          <w:rFonts w:ascii="宋体" w:hAnsi="宋体" w:cs="宋体"/>
          <w:b/>
          <w:color w:val="auto"/>
          <w:sz w:val="21"/>
          <w:szCs w:val="21"/>
          <w:highlight w:val="none"/>
        </w:rPr>
      </w:pPr>
      <w:r>
        <w:rPr>
          <w:rFonts w:hint="eastAsia" w:ascii="宋体" w:hAnsi="宋体" w:cs="宋体"/>
          <w:b/>
          <w:color w:val="auto"/>
          <w:sz w:val="21"/>
          <w:szCs w:val="21"/>
          <w:highlight w:val="none"/>
        </w:rPr>
        <w:t>争议的解决</w:t>
      </w:r>
    </w:p>
    <w:p>
      <w:pPr>
        <w:tabs>
          <w:tab w:val="left" w:pos="0"/>
          <w:tab w:val="left" w:pos="824"/>
        </w:tabs>
        <w:snapToGrid w:val="0"/>
        <w:spacing w:line="360" w:lineRule="auto"/>
        <w:ind w:left="18" w:leftChars="9" w:firstLine="380" w:firstLineChars="181"/>
        <w:jc w:val="both"/>
        <w:rPr>
          <w:rFonts w:ascii="宋体" w:hAnsi="宋体" w:cs="宋体"/>
          <w:color w:val="auto"/>
          <w:sz w:val="21"/>
          <w:szCs w:val="21"/>
          <w:highlight w:val="none"/>
        </w:rPr>
      </w:pPr>
      <w:r>
        <w:rPr>
          <w:rFonts w:hint="eastAsia" w:ascii="宋体" w:hAnsi="宋体" w:cs="宋体"/>
          <w:color w:val="auto"/>
          <w:sz w:val="21"/>
          <w:szCs w:val="21"/>
          <w:highlight w:val="none"/>
        </w:rPr>
        <w:t>合同执行过程中发生的任何争议，如双方不能通过友好协商解决，甲、乙双方一致同意向甲方所在地人民法院提起诉讼。</w:t>
      </w:r>
    </w:p>
    <w:p>
      <w:pPr>
        <w:numPr>
          <w:ilvl w:val="0"/>
          <w:numId w:val="29"/>
        </w:numPr>
        <w:tabs>
          <w:tab w:val="left" w:pos="426"/>
          <w:tab w:val="clear" w:pos="960"/>
        </w:tabs>
        <w:autoSpaceDE/>
        <w:autoSpaceDN/>
        <w:snapToGrid w:val="0"/>
        <w:spacing w:line="360" w:lineRule="auto"/>
        <w:ind w:left="0" w:firstLine="0"/>
        <w:jc w:val="both"/>
        <w:rPr>
          <w:rFonts w:ascii="宋体" w:hAnsi="宋体" w:cs="宋体"/>
          <w:b/>
          <w:color w:val="auto"/>
          <w:sz w:val="21"/>
          <w:szCs w:val="21"/>
          <w:highlight w:val="none"/>
        </w:rPr>
      </w:pPr>
      <w:r>
        <w:rPr>
          <w:rFonts w:hint="eastAsia" w:ascii="宋体" w:hAnsi="宋体" w:cs="宋体"/>
          <w:b/>
          <w:color w:val="auto"/>
          <w:sz w:val="21"/>
          <w:szCs w:val="21"/>
          <w:highlight w:val="none"/>
        </w:rPr>
        <w:t>不可抗力</w:t>
      </w:r>
    </w:p>
    <w:p>
      <w:pPr>
        <w:tabs>
          <w:tab w:val="left" w:pos="426"/>
        </w:tabs>
        <w:autoSpaceDE/>
        <w:autoSpaceDN/>
        <w:snapToGrid w:val="0"/>
        <w:spacing w:line="360" w:lineRule="auto"/>
        <w:ind w:firstLine="399" w:firstLineChars="190"/>
        <w:jc w:val="both"/>
        <w:rPr>
          <w:rFonts w:ascii="宋体" w:hAnsi="宋体" w:cs="宋体"/>
          <w:color w:val="auto"/>
          <w:sz w:val="21"/>
          <w:szCs w:val="21"/>
          <w:highlight w:val="none"/>
        </w:rPr>
      </w:pPr>
      <w:r>
        <w:rPr>
          <w:rFonts w:hint="eastAsia" w:ascii="宋体" w:hAnsi="宋体" w:cs="宋体"/>
          <w:color w:val="auto"/>
          <w:sz w:val="21"/>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29"/>
        </w:numPr>
        <w:tabs>
          <w:tab w:val="left" w:pos="426"/>
          <w:tab w:val="clear" w:pos="960"/>
        </w:tabs>
        <w:autoSpaceDE/>
        <w:autoSpaceDN/>
        <w:snapToGrid w:val="0"/>
        <w:spacing w:line="360" w:lineRule="auto"/>
        <w:ind w:left="0" w:firstLine="0"/>
        <w:jc w:val="both"/>
        <w:rPr>
          <w:rFonts w:ascii="宋体" w:hAnsi="宋体" w:cs="宋体"/>
          <w:b/>
          <w:color w:val="auto"/>
          <w:sz w:val="21"/>
          <w:szCs w:val="21"/>
          <w:highlight w:val="none"/>
        </w:rPr>
      </w:pPr>
      <w:r>
        <w:rPr>
          <w:rFonts w:hint="eastAsia" w:ascii="宋体" w:hAnsi="宋体" w:cs="宋体"/>
          <w:b/>
          <w:color w:val="auto"/>
          <w:sz w:val="21"/>
          <w:szCs w:val="21"/>
          <w:highlight w:val="none"/>
        </w:rPr>
        <w:t>税费</w:t>
      </w:r>
    </w:p>
    <w:p>
      <w:pPr>
        <w:tabs>
          <w:tab w:val="left" w:pos="426"/>
        </w:tabs>
        <w:autoSpaceDE/>
        <w:autoSpaceDN/>
        <w:snapToGrid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在中国境内、外发生的与本合同执行有关的一切税费均由乙方负担。</w:t>
      </w:r>
    </w:p>
    <w:p>
      <w:pPr>
        <w:numPr>
          <w:ilvl w:val="0"/>
          <w:numId w:val="29"/>
        </w:numPr>
        <w:tabs>
          <w:tab w:val="left" w:pos="426"/>
          <w:tab w:val="clear" w:pos="960"/>
        </w:tabs>
        <w:autoSpaceDE/>
        <w:autoSpaceDN/>
        <w:snapToGrid w:val="0"/>
        <w:spacing w:line="360" w:lineRule="auto"/>
        <w:ind w:left="0" w:firstLine="0"/>
        <w:jc w:val="both"/>
        <w:rPr>
          <w:rFonts w:ascii="宋体" w:hAnsi="宋体" w:cs="宋体"/>
          <w:b/>
          <w:color w:val="auto"/>
          <w:sz w:val="21"/>
          <w:szCs w:val="21"/>
          <w:highlight w:val="none"/>
        </w:rPr>
      </w:pPr>
      <w:r>
        <w:rPr>
          <w:rFonts w:hint="eastAsia" w:ascii="宋体" w:hAnsi="宋体" w:cs="宋体"/>
          <w:b/>
          <w:color w:val="auto"/>
          <w:sz w:val="21"/>
          <w:szCs w:val="21"/>
          <w:highlight w:val="none"/>
        </w:rPr>
        <w:t>其它</w:t>
      </w:r>
    </w:p>
    <w:p>
      <w:pPr>
        <w:numPr>
          <w:ilvl w:val="0"/>
          <w:numId w:val="37"/>
        </w:numPr>
        <w:snapToGrid w:val="0"/>
        <w:spacing w:line="360" w:lineRule="auto"/>
        <w:ind w:left="399" w:hanging="399" w:hangingChars="190"/>
        <w:jc w:val="both"/>
        <w:rPr>
          <w:rFonts w:ascii="宋体" w:hAnsi="宋体" w:cs="宋体"/>
          <w:color w:val="auto"/>
          <w:sz w:val="21"/>
          <w:szCs w:val="21"/>
          <w:highlight w:val="none"/>
        </w:rPr>
      </w:pPr>
      <w:r>
        <w:rPr>
          <w:rFonts w:hint="eastAsia" w:ascii="宋体" w:hAnsi="宋体" w:cs="宋体"/>
          <w:color w:val="auto"/>
          <w:sz w:val="21"/>
          <w:szCs w:val="21"/>
          <w:highlight w:val="none"/>
        </w:rPr>
        <w:t>本合同所有附件、招标文件、投标文件、中标通知书均为合同的有效组成部分，与本合同具有同等法律效力。</w:t>
      </w:r>
    </w:p>
    <w:p>
      <w:pPr>
        <w:numPr>
          <w:ilvl w:val="0"/>
          <w:numId w:val="37"/>
        </w:numPr>
        <w:snapToGrid w:val="0"/>
        <w:spacing w:line="360" w:lineRule="auto"/>
        <w:ind w:left="399" w:hanging="399" w:hangingChars="190"/>
        <w:jc w:val="both"/>
        <w:rPr>
          <w:rFonts w:ascii="宋体" w:hAnsi="宋体" w:cs="宋体"/>
          <w:color w:val="auto"/>
          <w:sz w:val="21"/>
          <w:szCs w:val="21"/>
          <w:highlight w:val="none"/>
        </w:rPr>
      </w:pPr>
      <w:r>
        <w:rPr>
          <w:rFonts w:hint="eastAsia" w:ascii="宋体" w:hAnsi="宋体" w:cs="宋体"/>
          <w:color w:val="auto"/>
          <w:sz w:val="21"/>
          <w:szCs w:val="21"/>
          <w:highlight w:val="none"/>
        </w:rPr>
        <w:t xml:space="preserve">如一方地址、电话、传真号码有变更，应在变更当日内书面通知对方，否则，应承担相应责任。 </w:t>
      </w:r>
    </w:p>
    <w:p>
      <w:pPr>
        <w:numPr>
          <w:ilvl w:val="0"/>
          <w:numId w:val="37"/>
        </w:numPr>
        <w:snapToGrid w:val="0"/>
        <w:spacing w:line="360" w:lineRule="auto"/>
        <w:ind w:left="399" w:hanging="399" w:hangingChars="190"/>
        <w:jc w:val="both"/>
        <w:rPr>
          <w:rFonts w:ascii="宋体" w:hAnsi="宋体" w:cs="宋体"/>
          <w:color w:val="auto"/>
          <w:sz w:val="21"/>
          <w:szCs w:val="21"/>
          <w:highlight w:val="none"/>
        </w:rPr>
      </w:pPr>
      <w:r>
        <w:rPr>
          <w:rFonts w:hint="eastAsia" w:ascii="宋体" w:hAnsi="宋体" w:cs="宋体"/>
          <w:color w:val="auto"/>
          <w:sz w:val="21"/>
          <w:szCs w:val="21"/>
          <w:highlight w:val="none"/>
        </w:rPr>
        <w:t>除甲方事先书面同意外，乙方不得部分或全部转让其应履行的合同项下的义务。</w:t>
      </w:r>
    </w:p>
    <w:p>
      <w:pPr>
        <w:numPr>
          <w:ilvl w:val="0"/>
          <w:numId w:val="29"/>
        </w:numPr>
        <w:tabs>
          <w:tab w:val="left" w:pos="426"/>
          <w:tab w:val="clear" w:pos="960"/>
        </w:tabs>
        <w:autoSpaceDE/>
        <w:autoSpaceDN/>
        <w:snapToGrid w:val="0"/>
        <w:spacing w:line="360" w:lineRule="auto"/>
        <w:ind w:left="0" w:firstLine="0"/>
        <w:jc w:val="both"/>
        <w:rPr>
          <w:rFonts w:ascii="宋体" w:hAnsi="宋体" w:cs="宋体"/>
          <w:b/>
          <w:color w:val="auto"/>
          <w:sz w:val="21"/>
          <w:szCs w:val="21"/>
          <w:highlight w:val="none"/>
        </w:rPr>
      </w:pPr>
      <w:r>
        <w:rPr>
          <w:rFonts w:hint="eastAsia" w:ascii="宋体" w:hAnsi="宋体" w:cs="宋体"/>
          <w:b/>
          <w:color w:val="auto"/>
          <w:sz w:val="21"/>
          <w:szCs w:val="21"/>
          <w:highlight w:val="none"/>
        </w:rPr>
        <w:t>合同生效</w:t>
      </w:r>
    </w:p>
    <w:p>
      <w:pPr>
        <w:numPr>
          <w:ilvl w:val="0"/>
          <w:numId w:val="38"/>
        </w:numPr>
        <w:snapToGrid w:val="0"/>
        <w:spacing w:line="360" w:lineRule="auto"/>
        <w:ind w:left="0" w:firstLine="0"/>
        <w:jc w:val="both"/>
        <w:rPr>
          <w:rFonts w:ascii="宋体" w:hAnsi="宋体" w:cs="宋体"/>
          <w:color w:val="auto"/>
          <w:sz w:val="21"/>
          <w:szCs w:val="21"/>
          <w:highlight w:val="none"/>
        </w:rPr>
      </w:pPr>
      <w:r>
        <w:rPr>
          <w:rFonts w:hint="eastAsia" w:ascii="宋体" w:hAnsi="宋体" w:cs="宋体"/>
          <w:color w:val="auto"/>
          <w:sz w:val="21"/>
          <w:szCs w:val="21"/>
          <w:highlight w:val="none"/>
        </w:rPr>
        <w:t>合同自甲乙双方法人代表或其授权代表签字盖章之日起生效。</w:t>
      </w:r>
    </w:p>
    <w:p>
      <w:pPr>
        <w:numPr>
          <w:ilvl w:val="0"/>
          <w:numId w:val="38"/>
        </w:numPr>
        <w:snapToGrid w:val="0"/>
        <w:spacing w:line="360" w:lineRule="auto"/>
        <w:ind w:left="0" w:firstLine="0"/>
        <w:jc w:val="both"/>
        <w:rPr>
          <w:rFonts w:ascii="宋体" w:hAnsi="宋体" w:cs="宋体"/>
          <w:color w:val="auto"/>
          <w:sz w:val="21"/>
          <w:szCs w:val="21"/>
          <w:highlight w:val="none"/>
        </w:rPr>
      </w:pPr>
      <w:r>
        <w:rPr>
          <w:rFonts w:hint="eastAsia" w:ascii="宋体" w:hAnsi="宋体" w:cs="宋体"/>
          <w:color w:val="auto"/>
          <w:sz w:val="21"/>
          <w:szCs w:val="21"/>
          <w:highlight w:val="none"/>
        </w:rPr>
        <w:t>合同壹式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份，其中甲乙双方各执</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份，招标代理机构执壹份。</w:t>
      </w:r>
    </w:p>
    <w:p>
      <w:pPr>
        <w:tabs>
          <w:tab w:val="left" w:pos="426"/>
        </w:tabs>
        <w:snapToGrid w:val="0"/>
        <w:spacing w:line="360" w:lineRule="auto"/>
        <w:rPr>
          <w:rFonts w:ascii="宋体" w:hAnsi="宋体" w:cs="宋体"/>
          <w:color w:val="auto"/>
          <w:sz w:val="21"/>
          <w:szCs w:val="21"/>
          <w:highlight w:val="none"/>
        </w:rPr>
      </w:pPr>
    </w:p>
    <w:p>
      <w:pPr>
        <w:tabs>
          <w:tab w:val="left" w:pos="426"/>
        </w:tabs>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甲方（盖章）：                          乙方（盖章）：</w:t>
      </w:r>
    </w:p>
    <w:p>
      <w:pPr>
        <w:tabs>
          <w:tab w:val="left" w:pos="426"/>
        </w:tabs>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代表：                                  代表： </w:t>
      </w:r>
    </w:p>
    <w:p>
      <w:pPr>
        <w:tabs>
          <w:tab w:val="left" w:pos="426"/>
        </w:tabs>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签定地点：</w:t>
      </w:r>
    </w:p>
    <w:p>
      <w:pPr>
        <w:tabs>
          <w:tab w:val="left" w:pos="426"/>
        </w:tabs>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签定日期：        年     月    日       签定日期：        年     月     日    </w:t>
      </w:r>
    </w:p>
    <w:p>
      <w:pPr>
        <w:tabs>
          <w:tab w:val="left" w:pos="426"/>
        </w:tabs>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开户名称：</w:t>
      </w:r>
    </w:p>
    <w:p>
      <w:pPr>
        <w:tabs>
          <w:tab w:val="left" w:pos="426"/>
        </w:tabs>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银行账号：</w:t>
      </w:r>
    </w:p>
    <w:p>
      <w:pPr>
        <w:tabs>
          <w:tab w:val="left" w:pos="426"/>
        </w:tabs>
        <w:spacing w:line="360" w:lineRule="auto"/>
        <w:ind w:left="1"/>
        <w:rPr>
          <w:rFonts w:ascii="宋体" w:hAnsi="宋体" w:cs="宋体"/>
          <w:color w:val="auto"/>
          <w:sz w:val="21"/>
          <w:szCs w:val="21"/>
          <w:highlight w:val="none"/>
        </w:rPr>
        <w:sectPr>
          <w:headerReference r:id="rId12" w:type="default"/>
          <w:footerReference r:id="rId13" w:type="default"/>
          <w:type w:val="continuous"/>
          <w:pgSz w:w="11906" w:h="16838"/>
          <w:pgMar w:top="1134" w:right="1134" w:bottom="1134" w:left="1134" w:header="851" w:footer="725" w:gutter="0"/>
          <w:pgNumType w:fmt="decimal"/>
          <w:cols w:space="720" w:num="1"/>
          <w:titlePg/>
          <w:docGrid w:type="lines" w:linePitch="312" w:charSpace="0"/>
        </w:sectPr>
      </w:pPr>
      <w:r>
        <w:rPr>
          <w:rFonts w:hint="eastAsia" w:ascii="宋体" w:hAnsi="宋体" w:cs="宋体"/>
          <w:color w:val="auto"/>
          <w:sz w:val="21"/>
          <w:szCs w:val="21"/>
          <w:highlight w:val="none"/>
        </w:rPr>
        <w:t>开 户 行：</w:t>
      </w:r>
    </w:p>
    <w:p>
      <w:pPr>
        <w:snapToGrid w:val="0"/>
        <w:spacing w:line="360" w:lineRule="auto"/>
        <w:jc w:val="center"/>
        <w:outlineLvl w:val="0"/>
        <w:rPr>
          <w:rFonts w:ascii="宋体" w:hAnsi="宋体" w:cs="宋体"/>
          <w:b/>
          <w:bCs/>
          <w:color w:val="auto"/>
          <w:sz w:val="30"/>
          <w:szCs w:val="30"/>
          <w:highlight w:val="none"/>
        </w:rPr>
        <w:sectPr>
          <w:headerReference r:id="rId14" w:type="default"/>
          <w:type w:val="continuous"/>
          <w:pgSz w:w="11906" w:h="16838"/>
          <w:pgMar w:top="1134" w:right="1134" w:bottom="1134" w:left="1134" w:header="851" w:footer="725" w:gutter="0"/>
          <w:pgNumType w:fmt="decimal"/>
          <w:cols w:space="720" w:num="1"/>
          <w:titlePg/>
          <w:docGrid w:type="lines" w:linePitch="312" w:charSpace="0"/>
        </w:sectPr>
      </w:pPr>
    </w:p>
    <w:p>
      <w:pPr>
        <w:snapToGrid w:val="0"/>
        <w:spacing w:line="360" w:lineRule="auto"/>
        <w:jc w:val="center"/>
        <w:outlineLvl w:val="0"/>
        <w:rPr>
          <w:rFonts w:ascii="宋体" w:hAnsi="宋体" w:cs="宋体"/>
          <w:b/>
          <w:bCs/>
          <w:color w:val="auto"/>
          <w:sz w:val="40"/>
          <w:szCs w:val="40"/>
          <w:highlight w:val="none"/>
        </w:rPr>
      </w:pPr>
    </w:p>
    <w:p>
      <w:pPr>
        <w:snapToGrid w:val="0"/>
        <w:spacing w:line="360" w:lineRule="auto"/>
        <w:jc w:val="center"/>
        <w:outlineLvl w:val="0"/>
        <w:rPr>
          <w:rFonts w:ascii="宋体" w:hAnsi="宋体" w:cs="宋体"/>
          <w:b/>
          <w:bCs/>
          <w:color w:val="auto"/>
          <w:sz w:val="40"/>
          <w:szCs w:val="40"/>
          <w:highlight w:val="none"/>
        </w:rPr>
      </w:pPr>
    </w:p>
    <w:p>
      <w:pPr>
        <w:snapToGrid w:val="0"/>
        <w:spacing w:line="360" w:lineRule="auto"/>
        <w:jc w:val="center"/>
        <w:outlineLvl w:val="0"/>
        <w:rPr>
          <w:rFonts w:ascii="宋体" w:hAnsi="宋体" w:cs="宋体"/>
          <w:b/>
          <w:bCs/>
          <w:color w:val="auto"/>
          <w:sz w:val="40"/>
          <w:szCs w:val="40"/>
          <w:highlight w:val="none"/>
        </w:rPr>
      </w:pPr>
    </w:p>
    <w:p>
      <w:pPr>
        <w:snapToGrid w:val="0"/>
        <w:spacing w:line="360" w:lineRule="auto"/>
        <w:jc w:val="center"/>
        <w:outlineLvl w:val="0"/>
        <w:rPr>
          <w:rFonts w:ascii="宋体" w:hAnsi="宋体" w:cs="宋体"/>
          <w:b/>
          <w:bCs/>
          <w:color w:val="auto"/>
          <w:sz w:val="40"/>
          <w:szCs w:val="40"/>
          <w:highlight w:val="none"/>
        </w:rPr>
      </w:pPr>
    </w:p>
    <w:p>
      <w:pPr>
        <w:snapToGrid w:val="0"/>
        <w:spacing w:line="360" w:lineRule="auto"/>
        <w:jc w:val="center"/>
        <w:outlineLvl w:val="0"/>
        <w:rPr>
          <w:rFonts w:ascii="宋体" w:hAnsi="宋体" w:cs="宋体"/>
          <w:b/>
          <w:bCs/>
          <w:color w:val="auto"/>
          <w:sz w:val="40"/>
          <w:szCs w:val="40"/>
          <w:highlight w:val="none"/>
        </w:rPr>
      </w:pPr>
    </w:p>
    <w:p>
      <w:pPr>
        <w:snapToGrid w:val="0"/>
        <w:spacing w:line="360" w:lineRule="auto"/>
        <w:jc w:val="center"/>
        <w:outlineLvl w:val="0"/>
        <w:rPr>
          <w:rFonts w:ascii="宋体" w:hAnsi="宋体" w:cs="宋体"/>
          <w:b/>
          <w:bCs/>
          <w:color w:val="auto"/>
          <w:sz w:val="40"/>
          <w:szCs w:val="40"/>
          <w:highlight w:val="none"/>
        </w:rPr>
      </w:pPr>
    </w:p>
    <w:p>
      <w:pPr>
        <w:snapToGrid w:val="0"/>
        <w:spacing w:line="360" w:lineRule="auto"/>
        <w:jc w:val="center"/>
        <w:outlineLvl w:val="0"/>
        <w:rPr>
          <w:rFonts w:ascii="宋体" w:hAnsi="宋体" w:cs="宋体"/>
          <w:b/>
          <w:bCs/>
          <w:color w:val="auto"/>
          <w:sz w:val="40"/>
          <w:szCs w:val="40"/>
          <w:highlight w:val="none"/>
        </w:rPr>
      </w:pPr>
      <w:bookmarkStart w:id="15" w:name="_Toc9163"/>
      <w:r>
        <w:rPr>
          <w:rFonts w:hint="eastAsia" w:ascii="宋体" w:hAnsi="宋体" w:cs="宋体"/>
          <w:b/>
          <w:bCs/>
          <w:color w:val="auto"/>
          <w:sz w:val="40"/>
          <w:szCs w:val="40"/>
          <w:highlight w:val="none"/>
        </w:rPr>
        <w:t>第六章 投标文件格式</w:t>
      </w:r>
      <w:bookmarkEnd w:id="15"/>
    </w:p>
    <w:p>
      <w:pPr>
        <w:pStyle w:val="2"/>
        <w:spacing w:line="440" w:lineRule="exact"/>
        <w:jc w:val="center"/>
        <w:rPr>
          <w:rFonts w:ascii="宋体" w:hAnsi="宋体" w:eastAsia="宋体" w:cs="宋体"/>
          <w:color w:val="auto"/>
          <w:highlight w:val="none"/>
        </w:rPr>
      </w:pPr>
    </w:p>
    <w:p>
      <w:pPr>
        <w:pStyle w:val="2"/>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投标文件封面参考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tcPr>
          <w:p>
            <w:pPr>
              <w:pStyle w:val="6"/>
              <w:spacing w:line="360" w:lineRule="auto"/>
              <w:ind w:firstLine="482" w:firstLineChars="150"/>
              <w:rPr>
                <w:rFonts w:ascii="宋体" w:hAnsi="宋体" w:cs="宋体"/>
                <w:b/>
                <w:color w:val="auto"/>
                <w:sz w:val="32"/>
                <w:highlight w:val="none"/>
              </w:rPr>
            </w:pPr>
          </w:p>
          <w:p>
            <w:pPr>
              <w:pStyle w:val="6"/>
              <w:spacing w:line="360" w:lineRule="auto"/>
              <w:ind w:firstLine="482" w:firstLineChars="150"/>
              <w:rPr>
                <w:rFonts w:ascii="宋体" w:hAnsi="宋体" w:cs="宋体"/>
                <w:b/>
                <w:color w:val="auto"/>
                <w:sz w:val="32"/>
                <w:highlight w:val="none"/>
              </w:rPr>
            </w:pPr>
          </w:p>
          <w:p>
            <w:pPr>
              <w:pStyle w:val="6"/>
              <w:spacing w:line="360" w:lineRule="auto"/>
              <w:ind w:firstLine="482" w:firstLineChars="150"/>
              <w:rPr>
                <w:rFonts w:ascii="宋体" w:hAnsi="宋体" w:cs="宋体"/>
                <w:b/>
                <w:color w:val="auto"/>
                <w:sz w:val="32"/>
                <w:highlight w:val="none"/>
              </w:rPr>
            </w:pPr>
          </w:p>
          <w:p>
            <w:pPr>
              <w:pStyle w:val="6"/>
              <w:spacing w:line="36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rPr>
              <w:t>投 标 文 件</w:t>
            </w:r>
          </w:p>
          <w:p>
            <w:pPr>
              <w:pStyle w:val="6"/>
              <w:spacing w:line="360" w:lineRule="auto"/>
              <w:jc w:val="center"/>
              <w:rPr>
                <w:rFonts w:ascii="宋体" w:hAnsi="宋体" w:cs="宋体"/>
                <w:b/>
                <w:strike/>
                <w:color w:val="auto"/>
                <w:sz w:val="32"/>
                <w:highlight w:val="none"/>
              </w:rPr>
            </w:pPr>
          </w:p>
          <w:p>
            <w:pPr>
              <w:pStyle w:val="6"/>
              <w:spacing w:line="360" w:lineRule="auto"/>
              <w:ind w:firstLine="3654" w:firstLineChars="700"/>
              <w:rPr>
                <w:rFonts w:ascii="宋体" w:hAnsi="宋体" w:cs="宋体"/>
                <w:b/>
                <w:color w:val="auto"/>
                <w:sz w:val="32"/>
                <w:highlight w:val="none"/>
              </w:rPr>
            </w:pPr>
            <w:r>
              <w:rPr>
                <w:rFonts w:hint="eastAsia" w:ascii="宋体" w:hAnsi="宋体" w:cs="宋体"/>
                <w:b/>
                <w:color w:val="auto"/>
                <w:sz w:val="52"/>
                <w:szCs w:val="52"/>
                <w:highlight w:val="none"/>
              </w:rPr>
              <w:t xml:space="preserve">口 </w:t>
            </w:r>
            <w:r>
              <w:rPr>
                <w:rFonts w:hint="eastAsia" w:ascii="宋体" w:hAnsi="宋体" w:cs="宋体"/>
                <w:b/>
                <w:color w:val="auto"/>
                <w:sz w:val="32"/>
                <w:highlight w:val="none"/>
              </w:rPr>
              <w:t>正本</w:t>
            </w:r>
          </w:p>
          <w:p>
            <w:pPr>
              <w:pStyle w:val="6"/>
              <w:spacing w:line="360" w:lineRule="auto"/>
              <w:ind w:firstLine="3654" w:firstLineChars="700"/>
              <w:rPr>
                <w:rFonts w:ascii="宋体" w:hAnsi="宋体" w:cs="宋体"/>
                <w:b/>
                <w:color w:val="auto"/>
                <w:sz w:val="32"/>
                <w:highlight w:val="none"/>
              </w:rPr>
            </w:pPr>
            <w:r>
              <w:rPr>
                <w:rFonts w:hint="eastAsia" w:ascii="宋体" w:hAnsi="宋体" w:cs="宋体"/>
                <w:b/>
                <w:color w:val="auto"/>
                <w:sz w:val="52"/>
                <w:szCs w:val="52"/>
                <w:highlight w:val="none"/>
              </w:rPr>
              <w:t xml:space="preserve">口 </w:t>
            </w:r>
            <w:r>
              <w:rPr>
                <w:rFonts w:hint="eastAsia" w:ascii="宋体" w:hAnsi="宋体" w:cs="宋体"/>
                <w:b/>
                <w:color w:val="auto"/>
                <w:sz w:val="32"/>
                <w:highlight w:val="none"/>
              </w:rPr>
              <w:t>副本</w:t>
            </w:r>
          </w:p>
          <w:p>
            <w:pPr>
              <w:pStyle w:val="6"/>
              <w:spacing w:line="360" w:lineRule="auto"/>
              <w:rPr>
                <w:rFonts w:ascii="宋体" w:hAnsi="宋体" w:cs="宋体"/>
                <w:b/>
                <w:color w:val="auto"/>
                <w:sz w:val="32"/>
                <w:highlight w:val="none"/>
              </w:rPr>
            </w:pPr>
          </w:p>
          <w:p>
            <w:pPr>
              <w:pStyle w:val="6"/>
              <w:spacing w:line="360" w:lineRule="auto"/>
              <w:rPr>
                <w:rFonts w:ascii="宋体" w:hAnsi="宋体" w:cs="宋体"/>
                <w:b/>
                <w:color w:val="auto"/>
                <w:sz w:val="32"/>
                <w:highlight w:val="none"/>
              </w:rPr>
            </w:pPr>
          </w:p>
          <w:p>
            <w:pPr>
              <w:pStyle w:val="6"/>
              <w:spacing w:line="360" w:lineRule="auto"/>
              <w:rPr>
                <w:rFonts w:ascii="宋体" w:hAnsi="宋体" w:cs="宋体"/>
                <w:b/>
                <w:color w:val="auto"/>
                <w:sz w:val="32"/>
                <w:highlight w:val="none"/>
              </w:rPr>
            </w:pPr>
          </w:p>
          <w:p>
            <w:pPr>
              <w:pStyle w:val="6"/>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项目编号：FH2022CG0113</w:t>
            </w:r>
          </w:p>
          <w:p>
            <w:pPr>
              <w:pStyle w:val="6"/>
              <w:spacing w:line="400" w:lineRule="exact"/>
              <w:ind w:left="2417" w:leftChars="448" w:hanging="1521" w:hangingChars="541"/>
              <w:rPr>
                <w:rFonts w:ascii="宋体" w:hAnsi="宋体" w:cs="宋体"/>
                <w:b/>
                <w:color w:val="auto"/>
                <w:sz w:val="28"/>
                <w:szCs w:val="28"/>
                <w:highlight w:val="none"/>
              </w:rPr>
            </w:pPr>
            <w:r>
              <w:rPr>
                <w:rFonts w:hint="eastAsia" w:ascii="宋体" w:hAnsi="宋体" w:cs="宋体"/>
                <w:b/>
                <w:color w:val="auto"/>
                <w:sz w:val="28"/>
                <w:szCs w:val="28"/>
                <w:highlight w:val="none"/>
              </w:rPr>
              <w:t>项目名称：中山市火炬科学技术学校小卖部承包经营项目</w:t>
            </w:r>
          </w:p>
          <w:p>
            <w:pPr>
              <w:pStyle w:val="6"/>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投标人名称：</w:t>
            </w:r>
          </w:p>
          <w:p>
            <w:pPr>
              <w:pStyle w:val="6"/>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 xml:space="preserve">投标人地址：              </w:t>
            </w:r>
          </w:p>
          <w:p>
            <w:pPr>
              <w:tabs>
                <w:tab w:val="left" w:pos="851"/>
              </w:tabs>
              <w:snapToGrid w:val="0"/>
              <w:spacing w:line="420" w:lineRule="auto"/>
              <w:rPr>
                <w:rFonts w:ascii="宋体" w:hAnsi="宋体" w:cs="宋体"/>
                <w:b/>
                <w:color w:val="auto"/>
                <w:sz w:val="32"/>
                <w:highlight w:val="none"/>
              </w:rPr>
            </w:pPr>
            <w:r>
              <w:rPr>
                <w:rFonts w:hint="eastAsia" w:ascii="宋体" w:hAnsi="宋体" w:cs="宋体"/>
                <w:b/>
                <w:color w:val="auto"/>
                <w:sz w:val="28"/>
                <w:szCs w:val="28"/>
                <w:highlight w:val="none"/>
              </w:rPr>
              <w:t xml:space="preserve">      </w:t>
            </w:r>
          </w:p>
        </w:tc>
      </w:tr>
    </w:tbl>
    <w:p>
      <w:pPr>
        <w:pStyle w:val="2"/>
        <w:spacing w:line="440" w:lineRule="exact"/>
        <w:jc w:val="center"/>
        <w:rPr>
          <w:rFonts w:ascii="宋体" w:hAnsi="宋体" w:eastAsia="宋体" w:cs="宋体"/>
          <w:b w:val="0"/>
          <w:color w:val="auto"/>
          <w:highlight w:val="none"/>
        </w:rPr>
      </w:pPr>
    </w:p>
    <w:p>
      <w:pPr>
        <w:pStyle w:val="2"/>
        <w:spacing w:line="440" w:lineRule="exact"/>
        <w:jc w:val="center"/>
        <w:rPr>
          <w:rFonts w:ascii="宋体" w:hAnsi="宋体" w:eastAsia="宋体" w:cs="宋体"/>
          <w:b w:val="0"/>
          <w:color w:val="auto"/>
          <w:sz w:val="18"/>
          <w:szCs w:val="18"/>
          <w:highlight w:val="none"/>
        </w:rPr>
      </w:pPr>
      <w:r>
        <w:rPr>
          <w:rFonts w:hint="eastAsia" w:ascii="宋体" w:hAnsi="宋体" w:eastAsia="宋体" w:cs="宋体"/>
          <w:b w:val="0"/>
          <w:color w:val="auto"/>
          <w:highlight w:val="none"/>
        </w:rPr>
        <w:t>投标文件目录表</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项目名称：中山市火炬科学技术学校小卖部承包经营项目</w:t>
      </w:r>
    </w:p>
    <w:p>
      <w:pPr>
        <w:spacing w:line="360" w:lineRule="auto"/>
        <w:rPr>
          <w:rFonts w:ascii="宋体" w:hAnsi="宋体" w:cs="宋体"/>
          <w:b/>
          <w:bCs/>
          <w:color w:val="auto"/>
          <w:sz w:val="21"/>
          <w:szCs w:val="21"/>
          <w:highlight w:val="none"/>
        </w:rPr>
      </w:pPr>
      <w:r>
        <w:rPr>
          <w:rFonts w:hint="eastAsia" w:ascii="宋体" w:hAnsi="宋体" w:cs="宋体"/>
          <w:color w:val="auto"/>
          <w:sz w:val="21"/>
          <w:szCs w:val="21"/>
          <w:highlight w:val="none"/>
        </w:rPr>
        <w:t xml:space="preserve">项目编号：FH2022CG0113 </w:t>
      </w:r>
    </w:p>
    <w:tbl>
      <w:tblPr>
        <w:tblStyle w:val="20"/>
        <w:tblW w:w="9652"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2"/>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trPr>
        <w:tc>
          <w:tcPr>
            <w:tcW w:w="692" w:type="dxa"/>
            <w:vMerge w:val="restart"/>
            <w:shd w:val="clear" w:color="auto" w:fill="EEECE1"/>
            <w:vAlign w:val="center"/>
          </w:tcPr>
          <w:p>
            <w:pPr>
              <w:spacing w:line="360" w:lineRule="auto"/>
              <w:ind w:left="-100" w:leftChars="-50" w:right="-104" w:rightChars="-52"/>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5743" w:type="dxa"/>
            <w:vMerge w:val="restart"/>
            <w:shd w:val="clear" w:color="auto" w:fill="EEECE1"/>
            <w:vAlign w:val="center"/>
          </w:tcPr>
          <w:p>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文    件    名    称</w:t>
            </w:r>
          </w:p>
        </w:tc>
        <w:tc>
          <w:tcPr>
            <w:tcW w:w="1468" w:type="dxa"/>
            <w:gridSpan w:val="2"/>
            <w:shd w:val="clear" w:color="auto" w:fill="EEECE1"/>
            <w:vAlign w:val="center"/>
          </w:tcPr>
          <w:p>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提交情况</w:t>
            </w:r>
          </w:p>
        </w:tc>
        <w:tc>
          <w:tcPr>
            <w:tcW w:w="874" w:type="dxa"/>
            <w:vMerge w:val="restart"/>
            <w:shd w:val="clear" w:color="auto" w:fill="EEECE1"/>
            <w:vAlign w:val="center"/>
          </w:tcPr>
          <w:p>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页码范围</w:t>
            </w:r>
          </w:p>
        </w:tc>
        <w:tc>
          <w:tcPr>
            <w:tcW w:w="875" w:type="dxa"/>
            <w:vMerge w:val="restart"/>
            <w:shd w:val="clear" w:color="auto" w:fill="EEECE1"/>
            <w:vAlign w:val="center"/>
          </w:tcPr>
          <w:p>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trPr>
        <w:tc>
          <w:tcPr>
            <w:tcW w:w="692" w:type="dxa"/>
            <w:vMerge w:val="continue"/>
            <w:shd w:val="clear" w:color="auto" w:fill="EEECE1"/>
            <w:vAlign w:val="center"/>
          </w:tcPr>
          <w:p>
            <w:pPr>
              <w:spacing w:line="360" w:lineRule="auto"/>
              <w:rPr>
                <w:rFonts w:ascii="宋体" w:hAnsi="宋体" w:cs="宋体"/>
                <w:color w:val="auto"/>
                <w:sz w:val="21"/>
                <w:szCs w:val="21"/>
                <w:highlight w:val="none"/>
              </w:rPr>
            </w:pPr>
          </w:p>
        </w:tc>
        <w:tc>
          <w:tcPr>
            <w:tcW w:w="5743" w:type="dxa"/>
            <w:vMerge w:val="continue"/>
            <w:shd w:val="clear" w:color="auto" w:fill="EEECE1"/>
            <w:vAlign w:val="center"/>
          </w:tcPr>
          <w:p>
            <w:pPr>
              <w:spacing w:line="360" w:lineRule="auto"/>
              <w:rPr>
                <w:rFonts w:ascii="宋体" w:hAnsi="宋体" w:cs="宋体"/>
                <w:color w:val="auto"/>
                <w:sz w:val="21"/>
                <w:szCs w:val="21"/>
                <w:highlight w:val="none"/>
              </w:rPr>
            </w:pPr>
          </w:p>
        </w:tc>
        <w:tc>
          <w:tcPr>
            <w:tcW w:w="754" w:type="dxa"/>
            <w:shd w:val="clear" w:color="auto" w:fill="EEECE1"/>
            <w:vAlign w:val="center"/>
          </w:tcPr>
          <w:p>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有</w:t>
            </w:r>
          </w:p>
        </w:tc>
        <w:tc>
          <w:tcPr>
            <w:tcW w:w="714" w:type="dxa"/>
            <w:shd w:val="clear" w:color="auto" w:fill="EEECE1"/>
            <w:vAlign w:val="center"/>
          </w:tcPr>
          <w:p>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无</w:t>
            </w:r>
          </w:p>
        </w:tc>
        <w:tc>
          <w:tcPr>
            <w:tcW w:w="874" w:type="dxa"/>
            <w:vMerge w:val="continue"/>
            <w:shd w:val="clear" w:color="auto" w:fill="EEECE1"/>
            <w:vAlign w:val="center"/>
          </w:tcPr>
          <w:p>
            <w:pPr>
              <w:spacing w:line="360" w:lineRule="auto"/>
              <w:jc w:val="center"/>
              <w:rPr>
                <w:rFonts w:ascii="宋体" w:hAnsi="宋体" w:cs="宋体"/>
                <w:color w:val="auto"/>
                <w:sz w:val="21"/>
                <w:szCs w:val="21"/>
                <w:highlight w:val="none"/>
              </w:rPr>
            </w:pPr>
          </w:p>
        </w:tc>
        <w:tc>
          <w:tcPr>
            <w:tcW w:w="875" w:type="dxa"/>
            <w:vMerge w:val="continue"/>
            <w:shd w:val="clear" w:color="auto" w:fill="EEECE1"/>
            <w:vAlign w:val="center"/>
          </w:tcPr>
          <w:p>
            <w:pPr>
              <w:spacing w:line="360" w:lineRule="auto"/>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52" w:type="dxa"/>
            <w:gridSpan w:val="6"/>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Cs w:val="21"/>
                <w:highlight w:val="none"/>
              </w:rPr>
              <w:t>一、</w:t>
            </w:r>
            <w:r>
              <w:rPr>
                <w:rFonts w:hint="eastAsia" w:ascii="宋体" w:hAnsi="宋体" w:cs="宋体"/>
                <w:b/>
                <w:color w:val="auto"/>
                <w:szCs w:val="21"/>
                <w:highlight w:val="none"/>
              </w:rPr>
              <w:t>初审文件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92" w:type="dxa"/>
            <w:shd w:val="clear" w:color="auto" w:fill="auto"/>
            <w:vAlign w:val="center"/>
          </w:tcPr>
          <w:p>
            <w:pPr>
              <w:numPr>
                <w:ilvl w:val="0"/>
                <w:numId w:val="39"/>
              </w:numPr>
              <w:autoSpaceDE/>
              <w:autoSpaceDN/>
              <w:adjustRightInd/>
              <w:spacing w:line="360" w:lineRule="auto"/>
              <w:jc w:val="center"/>
              <w:rPr>
                <w:rFonts w:ascii="宋体" w:hAnsi="宋体" w:cs="宋体"/>
                <w:color w:val="auto"/>
                <w:sz w:val="21"/>
                <w:szCs w:val="21"/>
                <w:highlight w:val="none"/>
              </w:rPr>
            </w:pPr>
          </w:p>
        </w:tc>
        <w:tc>
          <w:tcPr>
            <w:tcW w:w="5743" w:type="dxa"/>
            <w:shd w:val="clear" w:color="auto" w:fill="auto"/>
            <w:vAlign w:val="center"/>
          </w:tcPr>
          <w:p>
            <w:pPr>
              <w:pStyle w:val="8"/>
              <w:spacing w:line="360" w:lineRule="auto"/>
              <w:rPr>
                <w:rFonts w:hAnsi="宋体" w:cs="宋体"/>
                <w:color w:val="auto"/>
                <w:sz w:val="21"/>
                <w:highlight w:val="none"/>
              </w:rPr>
            </w:pPr>
          </w:p>
        </w:tc>
        <w:tc>
          <w:tcPr>
            <w:tcW w:w="754" w:type="dxa"/>
            <w:shd w:val="clear" w:color="auto" w:fill="auto"/>
            <w:vAlign w:val="center"/>
          </w:tcPr>
          <w:p>
            <w:pPr>
              <w:spacing w:line="360" w:lineRule="auto"/>
              <w:jc w:val="center"/>
              <w:rPr>
                <w:rFonts w:ascii="宋体" w:hAnsi="宋体" w:cs="宋体"/>
                <w:color w:val="auto"/>
                <w:sz w:val="21"/>
                <w:szCs w:val="21"/>
                <w:highlight w:val="none"/>
              </w:rPr>
            </w:pPr>
          </w:p>
        </w:tc>
        <w:tc>
          <w:tcPr>
            <w:tcW w:w="714" w:type="dxa"/>
            <w:shd w:val="clear" w:color="auto" w:fill="auto"/>
            <w:vAlign w:val="center"/>
          </w:tcPr>
          <w:p>
            <w:pPr>
              <w:spacing w:line="360" w:lineRule="auto"/>
              <w:jc w:val="center"/>
              <w:rPr>
                <w:rFonts w:ascii="宋体" w:hAnsi="宋体" w:cs="宋体"/>
                <w:color w:val="auto"/>
                <w:sz w:val="21"/>
                <w:szCs w:val="21"/>
                <w:highlight w:val="none"/>
              </w:rPr>
            </w:pPr>
          </w:p>
        </w:tc>
        <w:tc>
          <w:tcPr>
            <w:tcW w:w="874" w:type="dxa"/>
            <w:shd w:val="clear" w:color="auto" w:fill="EEECE1"/>
            <w:vAlign w:val="center"/>
          </w:tcPr>
          <w:p>
            <w:pPr>
              <w:spacing w:line="360" w:lineRule="auto"/>
              <w:jc w:val="center"/>
              <w:rPr>
                <w:rFonts w:ascii="宋体" w:hAnsi="宋体" w:cs="宋体"/>
                <w:color w:val="auto"/>
                <w:sz w:val="21"/>
                <w:szCs w:val="21"/>
                <w:highlight w:val="none"/>
              </w:rPr>
            </w:pPr>
          </w:p>
        </w:tc>
        <w:tc>
          <w:tcPr>
            <w:tcW w:w="875" w:type="dxa"/>
            <w:shd w:val="clear" w:color="auto" w:fill="EEECE1"/>
            <w:vAlign w:val="center"/>
          </w:tcPr>
          <w:p>
            <w:pPr>
              <w:spacing w:line="360" w:lineRule="auto"/>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692" w:type="dxa"/>
            <w:shd w:val="clear" w:color="auto" w:fill="auto"/>
            <w:vAlign w:val="center"/>
          </w:tcPr>
          <w:p>
            <w:pPr>
              <w:numPr>
                <w:ilvl w:val="0"/>
                <w:numId w:val="39"/>
              </w:numPr>
              <w:autoSpaceDE/>
              <w:autoSpaceDN/>
              <w:adjustRightInd/>
              <w:spacing w:line="360" w:lineRule="auto"/>
              <w:jc w:val="center"/>
              <w:rPr>
                <w:rFonts w:ascii="宋体" w:hAnsi="宋体" w:cs="宋体"/>
                <w:color w:val="auto"/>
                <w:sz w:val="21"/>
                <w:szCs w:val="21"/>
                <w:highlight w:val="none"/>
              </w:rPr>
            </w:pPr>
          </w:p>
        </w:tc>
        <w:tc>
          <w:tcPr>
            <w:tcW w:w="5743" w:type="dxa"/>
            <w:shd w:val="clear" w:color="auto" w:fill="auto"/>
            <w:vAlign w:val="center"/>
          </w:tcPr>
          <w:p>
            <w:pPr>
              <w:pStyle w:val="8"/>
              <w:spacing w:line="360" w:lineRule="auto"/>
              <w:rPr>
                <w:rFonts w:hAnsi="宋体" w:cs="宋体"/>
                <w:color w:val="auto"/>
                <w:sz w:val="21"/>
                <w:highlight w:val="none"/>
              </w:rPr>
            </w:pPr>
          </w:p>
        </w:tc>
        <w:tc>
          <w:tcPr>
            <w:tcW w:w="754" w:type="dxa"/>
            <w:shd w:val="clear" w:color="auto" w:fill="auto"/>
            <w:vAlign w:val="center"/>
          </w:tcPr>
          <w:p>
            <w:pPr>
              <w:spacing w:line="360" w:lineRule="auto"/>
              <w:jc w:val="center"/>
              <w:rPr>
                <w:rFonts w:ascii="宋体" w:hAnsi="宋体" w:cs="宋体"/>
                <w:color w:val="auto"/>
                <w:sz w:val="21"/>
                <w:szCs w:val="21"/>
                <w:highlight w:val="none"/>
              </w:rPr>
            </w:pPr>
          </w:p>
        </w:tc>
        <w:tc>
          <w:tcPr>
            <w:tcW w:w="714" w:type="dxa"/>
            <w:shd w:val="clear" w:color="auto" w:fill="auto"/>
            <w:vAlign w:val="center"/>
          </w:tcPr>
          <w:p>
            <w:pPr>
              <w:spacing w:line="360" w:lineRule="auto"/>
              <w:jc w:val="center"/>
              <w:rPr>
                <w:rFonts w:ascii="宋体" w:hAnsi="宋体" w:cs="宋体"/>
                <w:color w:val="auto"/>
                <w:sz w:val="21"/>
                <w:szCs w:val="21"/>
                <w:highlight w:val="none"/>
              </w:rPr>
            </w:pPr>
          </w:p>
        </w:tc>
        <w:tc>
          <w:tcPr>
            <w:tcW w:w="874" w:type="dxa"/>
            <w:shd w:val="clear" w:color="auto" w:fill="EEECE1"/>
            <w:vAlign w:val="center"/>
          </w:tcPr>
          <w:p>
            <w:pPr>
              <w:spacing w:line="360" w:lineRule="auto"/>
              <w:jc w:val="center"/>
              <w:rPr>
                <w:rFonts w:ascii="宋体" w:hAnsi="宋体" w:cs="宋体"/>
                <w:color w:val="auto"/>
                <w:sz w:val="21"/>
                <w:szCs w:val="21"/>
                <w:highlight w:val="none"/>
              </w:rPr>
            </w:pPr>
          </w:p>
        </w:tc>
        <w:tc>
          <w:tcPr>
            <w:tcW w:w="875" w:type="dxa"/>
            <w:shd w:val="clear" w:color="auto" w:fill="EEECE1"/>
            <w:vAlign w:val="center"/>
          </w:tcPr>
          <w:p>
            <w:pPr>
              <w:spacing w:line="360" w:lineRule="auto"/>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92" w:type="dxa"/>
            <w:shd w:val="clear" w:color="auto" w:fill="auto"/>
            <w:vAlign w:val="center"/>
          </w:tcPr>
          <w:p>
            <w:pPr>
              <w:numPr>
                <w:ilvl w:val="0"/>
                <w:numId w:val="39"/>
              </w:numPr>
              <w:autoSpaceDE/>
              <w:autoSpaceDN/>
              <w:adjustRightInd/>
              <w:spacing w:line="360" w:lineRule="auto"/>
              <w:jc w:val="center"/>
              <w:rPr>
                <w:rFonts w:ascii="宋体" w:hAnsi="宋体" w:cs="宋体"/>
                <w:color w:val="auto"/>
                <w:sz w:val="21"/>
                <w:szCs w:val="21"/>
                <w:highlight w:val="none"/>
              </w:rPr>
            </w:pPr>
          </w:p>
        </w:tc>
        <w:tc>
          <w:tcPr>
            <w:tcW w:w="5743" w:type="dxa"/>
            <w:shd w:val="clear" w:color="auto" w:fill="auto"/>
            <w:vAlign w:val="center"/>
          </w:tcPr>
          <w:p>
            <w:pPr>
              <w:pStyle w:val="8"/>
              <w:spacing w:line="360" w:lineRule="auto"/>
              <w:rPr>
                <w:rFonts w:hAnsi="宋体" w:cs="宋体"/>
                <w:color w:val="auto"/>
                <w:sz w:val="21"/>
                <w:highlight w:val="none"/>
              </w:rPr>
            </w:pPr>
          </w:p>
        </w:tc>
        <w:tc>
          <w:tcPr>
            <w:tcW w:w="754" w:type="dxa"/>
            <w:shd w:val="clear" w:color="auto" w:fill="auto"/>
            <w:vAlign w:val="center"/>
          </w:tcPr>
          <w:p>
            <w:pPr>
              <w:spacing w:line="360" w:lineRule="auto"/>
              <w:jc w:val="center"/>
              <w:rPr>
                <w:rFonts w:ascii="宋体" w:hAnsi="宋体" w:cs="宋体"/>
                <w:color w:val="auto"/>
                <w:sz w:val="21"/>
                <w:szCs w:val="21"/>
                <w:highlight w:val="none"/>
              </w:rPr>
            </w:pPr>
          </w:p>
        </w:tc>
        <w:tc>
          <w:tcPr>
            <w:tcW w:w="714" w:type="dxa"/>
            <w:shd w:val="clear" w:color="auto" w:fill="auto"/>
            <w:vAlign w:val="center"/>
          </w:tcPr>
          <w:p>
            <w:pPr>
              <w:spacing w:line="360" w:lineRule="auto"/>
              <w:jc w:val="center"/>
              <w:rPr>
                <w:rFonts w:ascii="宋体" w:hAnsi="宋体" w:cs="宋体"/>
                <w:color w:val="auto"/>
                <w:sz w:val="21"/>
                <w:szCs w:val="21"/>
                <w:highlight w:val="none"/>
              </w:rPr>
            </w:pPr>
          </w:p>
        </w:tc>
        <w:tc>
          <w:tcPr>
            <w:tcW w:w="874" w:type="dxa"/>
            <w:shd w:val="clear" w:color="auto" w:fill="EEECE1"/>
            <w:vAlign w:val="center"/>
          </w:tcPr>
          <w:p>
            <w:pPr>
              <w:spacing w:line="360" w:lineRule="auto"/>
              <w:jc w:val="center"/>
              <w:rPr>
                <w:rFonts w:ascii="宋体" w:hAnsi="宋体" w:cs="宋体"/>
                <w:color w:val="auto"/>
                <w:sz w:val="21"/>
                <w:szCs w:val="21"/>
                <w:highlight w:val="none"/>
              </w:rPr>
            </w:pPr>
          </w:p>
        </w:tc>
        <w:tc>
          <w:tcPr>
            <w:tcW w:w="875" w:type="dxa"/>
            <w:shd w:val="clear" w:color="auto" w:fill="EEECE1"/>
            <w:vAlign w:val="center"/>
          </w:tcPr>
          <w:p>
            <w:pPr>
              <w:spacing w:line="360" w:lineRule="auto"/>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92" w:type="dxa"/>
            <w:shd w:val="clear" w:color="auto" w:fill="auto"/>
            <w:vAlign w:val="center"/>
          </w:tcPr>
          <w:p>
            <w:pPr>
              <w:numPr>
                <w:ilvl w:val="0"/>
                <w:numId w:val="39"/>
              </w:numPr>
              <w:autoSpaceDE/>
              <w:autoSpaceDN/>
              <w:adjustRightInd/>
              <w:spacing w:line="360" w:lineRule="auto"/>
              <w:jc w:val="center"/>
              <w:rPr>
                <w:rFonts w:ascii="宋体" w:hAnsi="宋体" w:cs="宋体"/>
                <w:color w:val="auto"/>
                <w:sz w:val="21"/>
                <w:szCs w:val="21"/>
                <w:highlight w:val="none"/>
              </w:rPr>
            </w:pPr>
          </w:p>
        </w:tc>
        <w:tc>
          <w:tcPr>
            <w:tcW w:w="5743" w:type="dxa"/>
            <w:shd w:val="clear" w:color="auto" w:fill="auto"/>
            <w:vAlign w:val="center"/>
          </w:tcPr>
          <w:p>
            <w:pPr>
              <w:pStyle w:val="8"/>
              <w:spacing w:line="360" w:lineRule="auto"/>
              <w:rPr>
                <w:rFonts w:hAnsi="宋体" w:cs="宋体"/>
                <w:color w:val="auto"/>
                <w:sz w:val="21"/>
                <w:highlight w:val="none"/>
              </w:rPr>
            </w:pPr>
          </w:p>
        </w:tc>
        <w:tc>
          <w:tcPr>
            <w:tcW w:w="754" w:type="dxa"/>
            <w:shd w:val="clear" w:color="auto" w:fill="auto"/>
            <w:vAlign w:val="center"/>
          </w:tcPr>
          <w:p>
            <w:pPr>
              <w:spacing w:line="360" w:lineRule="auto"/>
              <w:jc w:val="center"/>
              <w:rPr>
                <w:rFonts w:ascii="宋体" w:hAnsi="宋体" w:cs="宋体"/>
                <w:color w:val="auto"/>
                <w:sz w:val="21"/>
                <w:szCs w:val="21"/>
                <w:highlight w:val="none"/>
              </w:rPr>
            </w:pPr>
          </w:p>
        </w:tc>
        <w:tc>
          <w:tcPr>
            <w:tcW w:w="714" w:type="dxa"/>
            <w:shd w:val="clear" w:color="auto" w:fill="auto"/>
            <w:vAlign w:val="center"/>
          </w:tcPr>
          <w:p>
            <w:pPr>
              <w:spacing w:line="360" w:lineRule="auto"/>
              <w:jc w:val="center"/>
              <w:rPr>
                <w:rFonts w:ascii="宋体" w:hAnsi="宋体" w:cs="宋体"/>
                <w:color w:val="auto"/>
                <w:sz w:val="21"/>
                <w:szCs w:val="21"/>
                <w:highlight w:val="none"/>
              </w:rPr>
            </w:pPr>
          </w:p>
        </w:tc>
        <w:tc>
          <w:tcPr>
            <w:tcW w:w="874" w:type="dxa"/>
            <w:shd w:val="clear" w:color="auto" w:fill="EEECE1"/>
            <w:vAlign w:val="center"/>
          </w:tcPr>
          <w:p>
            <w:pPr>
              <w:spacing w:line="360" w:lineRule="auto"/>
              <w:jc w:val="center"/>
              <w:rPr>
                <w:rFonts w:ascii="宋体" w:hAnsi="宋体" w:cs="宋体"/>
                <w:color w:val="auto"/>
                <w:sz w:val="21"/>
                <w:szCs w:val="21"/>
                <w:highlight w:val="none"/>
              </w:rPr>
            </w:pPr>
          </w:p>
        </w:tc>
        <w:tc>
          <w:tcPr>
            <w:tcW w:w="875" w:type="dxa"/>
            <w:shd w:val="clear" w:color="auto" w:fill="EEECE1"/>
            <w:vAlign w:val="center"/>
          </w:tcPr>
          <w:p>
            <w:pPr>
              <w:spacing w:line="360" w:lineRule="auto"/>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92" w:type="dxa"/>
            <w:shd w:val="clear" w:color="auto" w:fill="auto"/>
            <w:vAlign w:val="center"/>
          </w:tcPr>
          <w:p>
            <w:pPr>
              <w:numPr>
                <w:ilvl w:val="0"/>
                <w:numId w:val="39"/>
              </w:numPr>
              <w:autoSpaceDE/>
              <w:autoSpaceDN/>
              <w:adjustRightInd/>
              <w:spacing w:line="360" w:lineRule="auto"/>
              <w:jc w:val="center"/>
              <w:rPr>
                <w:rFonts w:ascii="宋体" w:hAnsi="宋体" w:cs="宋体"/>
                <w:color w:val="auto"/>
                <w:sz w:val="21"/>
                <w:szCs w:val="21"/>
                <w:highlight w:val="none"/>
              </w:rPr>
            </w:pPr>
          </w:p>
        </w:tc>
        <w:tc>
          <w:tcPr>
            <w:tcW w:w="5743" w:type="dxa"/>
            <w:shd w:val="clear" w:color="auto" w:fill="auto"/>
            <w:vAlign w:val="center"/>
          </w:tcPr>
          <w:p>
            <w:pPr>
              <w:pStyle w:val="8"/>
              <w:spacing w:line="360" w:lineRule="auto"/>
              <w:rPr>
                <w:rFonts w:hAnsi="宋体" w:cs="宋体"/>
                <w:color w:val="auto"/>
                <w:sz w:val="21"/>
                <w:highlight w:val="none"/>
              </w:rPr>
            </w:pPr>
          </w:p>
        </w:tc>
        <w:tc>
          <w:tcPr>
            <w:tcW w:w="754" w:type="dxa"/>
            <w:shd w:val="clear" w:color="auto" w:fill="auto"/>
            <w:vAlign w:val="center"/>
          </w:tcPr>
          <w:p>
            <w:pPr>
              <w:spacing w:line="360" w:lineRule="auto"/>
              <w:jc w:val="center"/>
              <w:rPr>
                <w:rFonts w:ascii="宋体" w:hAnsi="宋体" w:cs="宋体"/>
                <w:color w:val="auto"/>
                <w:sz w:val="21"/>
                <w:szCs w:val="21"/>
                <w:highlight w:val="none"/>
              </w:rPr>
            </w:pPr>
          </w:p>
        </w:tc>
        <w:tc>
          <w:tcPr>
            <w:tcW w:w="714" w:type="dxa"/>
            <w:shd w:val="clear" w:color="auto" w:fill="auto"/>
            <w:vAlign w:val="center"/>
          </w:tcPr>
          <w:p>
            <w:pPr>
              <w:spacing w:line="360" w:lineRule="auto"/>
              <w:jc w:val="center"/>
              <w:rPr>
                <w:rFonts w:ascii="宋体" w:hAnsi="宋体" w:cs="宋体"/>
                <w:color w:val="auto"/>
                <w:sz w:val="21"/>
                <w:szCs w:val="21"/>
                <w:highlight w:val="none"/>
              </w:rPr>
            </w:pPr>
          </w:p>
        </w:tc>
        <w:tc>
          <w:tcPr>
            <w:tcW w:w="874" w:type="dxa"/>
            <w:shd w:val="clear" w:color="auto" w:fill="EEECE1"/>
            <w:vAlign w:val="center"/>
          </w:tcPr>
          <w:p>
            <w:pPr>
              <w:spacing w:line="360" w:lineRule="auto"/>
              <w:jc w:val="center"/>
              <w:rPr>
                <w:rFonts w:ascii="宋体" w:hAnsi="宋体" w:cs="宋体"/>
                <w:color w:val="auto"/>
                <w:sz w:val="21"/>
                <w:szCs w:val="21"/>
                <w:highlight w:val="none"/>
              </w:rPr>
            </w:pPr>
          </w:p>
        </w:tc>
        <w:tc>
          <w:tcPr>
            <w:tcW w:w="875" w:type="dxa"/>
            <w:shd w:val="clear" w:color="auto" w:fill="EEECE1"/>
            <w:vAlign w:val="center"/>
          </w:tcPr>
          <w:p>
            <w:pPr>
              <w:spacing w:line="360" w:lineRule="auto"/>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92" w:type="dxa"/>
            <w:shd w:val="clear" w:color="auto" w:fill="auto"/>
            <w:vAlign w:val="center"/>
          </w:tcPr>
          <w:p>
            <w:pPr>
              <w:numPr>
                <w:ilvl w:val="0"/>
                <w:numId w:val="39"/>
              </w:numPr>
              <w:autoSpaceDE/>
              <w:autoSpaceDN/>
              <w:adjustRightInd/>
              <w:spacing w:line="360" w:lineRule="auto"/>
              <w:jc w:val="center"/>
              <w:rPr>
                <w:rFonts w:ascii="宋体" w:hAnsi="宋体" w:cs="宋体"/>
                <w:color w:val="auto"/>
                <w:sz w:val="21"/>
                <w:szCs w:val="21"/>
                <w:highlight w:val="none"/>
              </w:rPr>
            </w:pPr>
          </w:p>
        </w:tc>
        <w:tc>
          <w:tcPr>
            <w:tcW w:w="5743" w:type="dxa"/>
            <w:shd w:val="clear" w:color="auto" w:fill="auto"/>
            <w:vAlign w:val="center"/>
          </w:tcPr>
          <w:p>
            <w:pPr>
              <w:pStyle w:val="8"/>
              <w:spacing w:line="360" w:lineRule="auto"/>
              <w:rPr>
                <w:rFonts w:hAnsi="宋体" w:cs="宋体"/>
                <w:color w:val="auto"/>
                <w:sz w:val="21"/>
                <w:highlight w:val="none"/>
              </w:rPr>
            </w:pPr>
          </w:p>
        </w:tc>
        <w:tc>
          <w:tcPr>
            <w:tcW w:w="754" w:type="dxa"/>
            <w:shd w:val="clear" w:color="auto" w:fill="auto"/>
            <w:vAlign w:val="center"/>
          </w:tcPr>
          <w:p>
            <w:pPr>
              <w:spacing w:line="360" w:lineRule="auto"/>
              <w:jc w:val="center"/>
              <w:rPr>
                <w:rFonts w:ascii="宋体" w:hAnsi="宋体" w:cs="宋体"/>
                <w:color w:val="auto"/>
                <w:sz w:val="21"/>
                <w:szCs w:val="21"/>
                <w:highlight w:val="none"/>
              </w:rPr>
            </w:pPr>
          </w:p>
        </w:tc>
        <w:tc>
          <w:tcPr>
            <w:tcW w:w="714" w:type="dxa"/>
            <w:shd w:val="clear" w:color="auto" w:fill="auto"/>
            <w:vAlign w:val="center"/>
          </w:tcPr>
          <w:p>
            <w:pPr>
              <w:spacing w:line="360" w:lineRule="auto"/>
              <w:jc w:val="center"/>
              <w:rPr>
                <w:rFonts w:ascii="宋体" w:hAnsi="宋体" w:cs="宋体"/>
                <w:color w:val="auto"/>
                <w:sz w:val="21"/>
                <w:szCs w:val="21"/>
                <w:highlight w:val="none"/>
              </w:rPr>
            </w:pPr>
          </w:p>
        </w:tc>
        <w:tc>
          <w:tcPr>
            <w:tcW w:w="874" w:type="dxa"/>
            <w:shd w:val="clear" w:color="auto" w:fill="EEECE1"/>
            <w:vAlign w:val="center"/>
          </w:tcPr>
          <w:p>
            <w:pPr>
              <w:spacing w:line="360" w:lineRule="auto"/>
              <w:jc w:val="center"/>
              <w:rPr>
                <w:rFonts w:ascii="宋体" w:hAnsi="宋体" w:cs="宋体"/>
                <w:color w:val="auto"/>
                <w:sz w:val="21"/>
                <w:szCs w:val="21"/>
                <w:highlight w:val="none"/>
              </w:rPr>
            </w:pPr>
          </w:p>
        </w:tc>
        <w:tc>
          <w:tcPr>
            <w:tcW w:w="875" w:type="dxa"/>
            <w:shd w:val="clear" w:color="auto" w:fill="EEECE1"/>
            <w:vAlign w:val="center"/>
          </w:tcPr>
          <w:p>
            <w:pPr>
              <w:spacing w:line="360" w:lineRule="auto"/>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52" w:type="dxa"/>
            <w:gridSpan w:val="6"/>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二、</w:t>
            </w:r>
            <w:r>
              <w:rPr>
                <w:rFonts w:hint="eastAsia" w:ascii="宋体" w:hAnsi="宋体" w:cs="宋体"/>
                <w:b/>
                <w:color w:val="auto"/>
                <w:sz w:val="21"/>
                <w:szCs w:val="21"/>
                <w:highlight w:val="none"/>
              </w:rPr>
              <w:t>技术商务文件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92" w:type="dxa"/>
            <w:shd w:val="clear" w:color="auto" w:fill="auto"/>
            <w:vAlign w:val="center"/>
          </w:tcPr>
          <w:p>
            <w:pPr>
              <w:numPr>
                <w:ilvl w:val="0"/>
                <w:numId w:val="40"/>
              </w:numPr>
              <w:autoSpaceDE/>
              <w:autoSpaceDN/>
              <w:adjustRightInd/>
              <w:spacing w:line="360" w:lineRule="auto"/>
              <w:jc w:val="center"/>
              <w:rPr>
                <w:rFonts w:ascii="宋体" w:hAnsi="宋体" w:cs="宋体"/>
                <w:color w:val="auto"/>
                <w:sz w:val="21"/>
                <w:szCs w:val="21"/>
                <w:highlight w:val="none"/>
              </w:rPr>
            </w:pPr>
          </w:p>
        </w:tc>
        <w:tc>
          <w:tcPr>
            <w:tcW w:w="5743" w:type="dxa"/>
            <w:shd w:val="clear" w:color="auto" w:fill="auto"/>
            <w:vAlign w:val="center"/>
          </w:tcPr>
          <w:p>
            <w:pPr>
              <w:pStyle w:val="8"/>
              <w:spacing w:line="360" w:lineRule="auto"/>
              <w:rPr>
                <w:rFonts w:hAnsi="宋体" w:cs="宋体"/>
                <w:color w:val="auto"/>
                <w:sz w:val="21"/>
                <w:highlight w:val="none"/>
              </w:rPr>
            </w:pPr>
          </w:p>
        </w:tc>
        <w:tc>
          <w:tcPr>
            <w:tcW w:w="754" w:type="dxa"/>
            <w:shd w:val="clear" w:color="auto" w:fill="auto"/>
            <w:vAlign w:val="center"/>
          </w:tcPr>
          <w:p>
            <w:pPr>
              <w:spacing w:line="360" w:lineRule="auto"/>
              <w:jc w:val="center"/>
              <w:rPr>
                <w:rFonts w:ascii="宋体" w:hAnsi="宋体" w:cs="宋体"/>
                <w:color w:val="auto"/>
                <w:sz w:val="21"/>
                <w:szCs w:val="21"/>
                <w:highlight w:val="none"/>
              </w:rPr>
            </w:pPr>
          </w:p>
        </w:tc>
        <w:tc>
          <w:tcPr>
            <w:tcW w:w="714" w:type="dxa"/>
            <w:shd w:val="clear" w:color="auto" w:fill="auto"/>
            <w:vAlign w:val="center"/>
          </w:tcPr>
          <w:p>
            <w:pPr>
              <w:spacing w:line="360" w:lineRule="auto"/>
              <w:jc w:val="center"/>
              <w:rPr>
                <w:rFonts w:ascii="宋体" w:hAnsi="宋体" w:cs="宋体"/>
                <w:color w:val="auto"/>
                <w:sz w:val="21"/>
                <w:szCs w:val="21"/>
                <w:highlight w:val="none"/>
              </w:rPr>
            </w:pPr>
          </w:p>
        </w:tc>
        <w:tc>
          <w:tcPr>
            <w:tcW w:w="874" w:type="dxa"/>
            <w:shd w:val="clear" w:color="auto" w:fill="EEECE1"/>
            <w:vAlign w:val="center"/>
          </w:tcPr>
          <w:p>
            <w:pPr>
              <w:spacing w:line="360" w:lineRule="auto"/>
              <w:jc w:val="center"/>
              <w:rPr>
                <w:rFonts w:ascii="宋体" w:hAnsi="宋体" w:cs="宋体"/>
                <w:color w:val="auto"/>
                <w:sz w:val="21"/>
                <w:szCs w:val="21"/>
                <w:highlight w:val="none"/>
              </w:rPr>
            </w:pPr>
          </w:p>
        </w:tc>
        <w:tc>
          <w:tcPr>
            <w:tcW w:w="875" w:type="dxa"/>
            <w:shd w:val="clear" w:color="auto" w:fill="EEECE1"/>
            <w:vAlign w:val="center"/>
          </w:tcPr>
          <w:p>
            <w:pPr>
              <w:spacing w:line="360" w:lineRule="auto"/>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92" w:type="dxa"/>
            <w:shd w:val="clear" w:color="auto" w:fill="auto"/>
            <w:vAlign w:val="center"/>
          </w:tcPr>
          <w:p>
            <w:pPr>
              <w:numPr>
                <w:ilvl w:val="0"/>
                <w:numId w:val="40"/>
              </w:numPr>
              <w:autoSpaceDE/>
              <w:autoSpaceDN/>
              <w:adjustRightInd/>
              <w:spacing w:line="360" w:lineRule="auto"/>
              <w:jc w:val="center"/>
              <w:rPr>
                <w:rFonts w:ascii="宋体" w:hAnsi="宋体" w:cs="宋体"/>
                <w:color w:val="auto"/>
                <w:sz w:val="21"/>
                <w:szCs w:val="21"/>
                <w:highlight w:val="none"/>
              </w:rPr>
            </w:pPr>
          </w:p>
        </w:tc>
        <w:tc>
          <w:tcPr>
            <w:tcW w:w="5743" w:type="dxa"/>
            <w:shd w:val="clear" w:color="auto" w:fill="auto"/>
            <w:vAlign w:val="center"/>
          </w:tcPr>
          <w:p>
            <w:pPr>
              <w:spacing w:line="360" w:lineRule="auto"/>
              <w:rPr>
                <w:rFonts w:ascii="宋体" w:hAnsi="宋体" w:cs="宋体"/>
                <w:color w:val="auto"/>
                <w:sz w:val="21"/>
                <w:szCs w:val="21"/>
                <w:highlight w:val="none"/>
              </w:rPr>
            </w:pPr>
          </w:p>
        </w:tc>
        <w:tc>
          <w:tcPr>
            <w:tcW w:w="754" w:type="dxa"/>
            <w:shd w:val="clear" w:color="auto" w:fill="auto"/>
            <w:vAlign w:val="center"/>
          </w:tcPr>
          <w:p>
            <w:pPr>
              <w:spacing w:line="360" w:lineRule="auto"/>
              <w:jc w:val="center"/>
              <w:rPr>
                <w:rFonts w:ascii="宋体" w:hAnsi="宋体" w:cs="宋体"/>
                <w:color w:val="auto"/>
                <w:sz w:val="21"/>
                <w:szCs w:val="21"/>
                <w:highlight w:val="none"/>
              </w:rPr>
            </w:pPr>
          </w:p>
        </w:tc>
        <w:tc>
          <w:tcPr>
            <w:tcW w:w="714" w:type="dxa"/>
            <w:shd w:val="clear" w:color="auto" w:fill="auto"/>
            <w:vAlign w:val="center"/>
          </w:tcPr>
          <w:p>
            <w:pPr>
              <w:spacing w:line="360" w:lineRule="auto"/>
              <w:jc w:val="center"/>
              <w:rPr>
                <w:rFonts w:ascii="宋体" w:hAnsi="宋体" w:cs="宋体"/>
                <w:color w:val="auto"/>
                <w:sz w:val="21"/>
                <w:szCs w:val="21"/>
                <w:highlight w:val="none"/>
              </w:rPr>
            </w:pPr>
          </w:p>
        </w:tc>
        <w:tc>
          <w:tcPr>
            <w:tcW w:w="874" w:type="dxa"/>
            <w:shd w:val="clear" w:color="auto" w:fill="EEECE1"/>
            <w:vAlign w:val="center"/>
          </w:tcPr>
          <w:p>
            <w:pPr>
              <w:spacing w:line="360" w:lineRule="auto"/>
              <w:jc w:val="center"/>
              <w:rPr>
                <w:rFonts w:ascii="宋体" w:hAnsi="宋体" w:cs="宋体"/>
                <w:color w:val="auto"/>
                <w:sz w:val="21"/>
                <w:szCs w:val="21"/>
                <w:highlight w:val="none"/>
              </w:rPr>
            </w:pPr>
          </w:p>
        </w:tc>
        <w:tc>
          <w:tcPr>
            <w:tcW w:w="875" w:type="dxa"/>
            <w:shd w:val="clear" w:color="auto" w:fill="EEECE1"/>
            <w:vAlign w:val="center"/>
          </w:tcPr>
          <w:p>
            <w:pPr>
              <w:spacing w:line="360" w:lineRule="auto"/>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92" w:type="dxa"/>
            <w:shd w:val="clear" w:color="auto" w:fill="auto"/>
            <w:vAlign w:val="center"/>
          </w:tcPr>
          <w:p>
            <w:pPr>
              <w:numPr>
                <w:ilvl w:val="0"/>
                <w:numId w:val="40"/>
              </w:numPr>
              <w:autoSpaceDE/>
              <w:autoSpaceDN/>
              <w:adjustRightInd/>
              <w:spacing w:line="360" w:lineRule="auto"/>
              <w:jc w:val="center"/>
              <w:rPr>
                <w:rFonts w:ascii="宋体" w:hAnsi="宋体" w:cs="宋体"/>
                <w:color w:val="auto"/>
                <w:sz w:val="21"/>
                <w:szCs w:val="21"/>
                <w:highlight w:val="none"/>
              </w:rPr>
            </w:pPr>
          </w:p>
        </w:tc>
        <w:tc>
          <w:tcPr>
            <w:tcW w:w="5743" w:type="dxa"/>
            <w:shd w:val="clear" w:color="auto" w:fill="auto"/>
            <w:vAlign w:val="center"/>
          </w:tcPr>
          <w:p>
            <w:pPr>
              <w:spacing w:line="360" w:lineRule="auto"/>
              <w:textAlignment w:val="baseline"/>
              <w:rPr>
                <w:rFonts w:ascii="宋体" w:hAnsi="宋体" w:cs="宋体"/>
                <w:color w:val="auto"/>
                <w:sz w:val="21"/>
                <w:szCs w:val="21"/>
                <w:highlight w:val="none"/>
              </w:rPr>
            </w:pPr>
          </w:p>
        </w:tc>
        <w:tc>
          <w:tcPr>
            <w:tcW w:w="754" w:type="dxa"/>
            <w:shd w:val="clear" w:color="auto" w:fill="auto"/>
            <w:vAlign w:val="center"/>
          </w:tcPr>
          <w:p>
            <w:pPr>
              <w:spacing w:line="360" w:lineRule="auto"/>
              <w:jc w:val="center"/>
              <w:rPr>
                <w:rFonts w:ascii="宋体" w:hAnsi="宋体" w:cs="宋体"/>
                <w:color w:val="auto"/>
                <w:sz w:val="21"/>
                <w:szCs w:val="21"/>
                <w:highlight w:val="none"/>
              </w:rPr>
            </w:pPr>
          </w:p>
        </w:tc>
        <w:tc>
          <w:tcPr>
            <w:tcW w:w="714" w:type="dxa"/>
            <w:shd w:val="clear" w:color="auto" w:fill="auto"/>
            <w:vAlign w:val="center"/>
          </w:tcPr>
          <w:p>
            <w:pPr>
              <w:spacing w:line="360" w:lineRule="auto"/>
              <w:jc w:val="center"/>
              <w:rPr>
                <w:rFonts w:ascii="宋体" w:hAnsi="宋体" w:cs="宋体"/>
                <w:color w:val="auto"/>
                <w:sz w:val="21"/>
                <w:szCs w:val="21"/>
                <w:highlight w:val="none"/>
              </w:rPr>
            </w:pPr>
          </w:p>
        </w:tc>
        <w:tc>
          <w:tcPr>
            <w:tcW w:w="874" w:type="dxa"/>
            <w:shd w:val="clear" w:color="auto" w:fill="EEECE1"/>
            <w:vAlign w:val="center"/>
          </w:tcPr>
          <w:p>
            <w:pPr>
              <w:spacing w:line="360" w:lineRule="auto"/>
              <w:jc w:val="center"/>
              <w:rPr>
                <w:rFonts w:ascii="宋体" w:hAnsi="宋体" w:cs="宋体"/>
                <w:color w:val="auto"/>
                <w:sz w:val="21"/>
                <w:szCs w:val="21"/>
                <w:highlight w:val="none"/>
              </w:rPr>
            </w:pPr>
          </w:p>
        </w:tc>
        <w:tc>
          <w:tcPr>
            <w:tcW w:w="875" w:type="dxa"/>
            <w:shd w:val="clear" w:color="auto" w:fill="EEECE1"/>
            <w:vAlign w:val="center"/>
          </w:tcPr>
          <w:p>
            <w:pPr>
              <w:spacing w:line="360" w:lineRule="auto"/>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92" w:type="dxa"/>
            <w:shd w:val="clear" w:color="auto" w:fill="auto"/>
            <w:vAlign w:val="center"/>
          </w:tcPr>
          <w:p>
            <w:pPr>
              <w:numPr>
                <w:ilvl w:val="0"/>
                <w:numId w:val="40"/>
              </w:numPr>
              <w:autoSpaceDE/>
              <w:autoSpaceDN/>
              <w:adjustRightInd/>
              <w:spacing w:line="360" w:lineRule="auto"/>
              <w:jc w:val="center"/>
              <w:rPr>
                <w:rFonts w:ascii="宋体" w:hAnsi="宋体" w:cs="宋体"/>
                <w:color w:val="auto"/>
                <w:sz w:val="21"/>
                <w:szCs w:val="21"/>
                <w:highlight w:val="none"/>
              </w:rPr>
            </w:pPr>
          </w:p>
        </w:tc>
        <w:tc>
          <w:tcPr>
            <w:tcW w:w="5743" w:type="dxa"/>
            <w:shd w:val="clear" w:color="auto" w:fill="auto"/>
            <w:vAlign w:val="center"/>
          </w:tcPr>
          <w:p>
            <w:pPr>
              <w:pStyle w:val="5"/>
              <w:spacing w:line="360" w:lineRule="auto"/>
              <w:rPr>
                <w:rFonts w:ascii="宋体" w:hAnsi="宋体" w:cs="宋体"/>
                <w:color w:val="auto"/>
                <w:sz w:val="21"/>
                <w:szCs w:val="21"/>
                <w:highlight w:val="none"/>
              </w:rPr>
            </w:pPr>
          </w:p>
        </w:tc>
        <w:tc>
          <w:tcPr>
            <w:tcW w:w="754" w:type="dxa"/>
            <w:shd w:val="clear" w:color="auto" w:fill="auto"/>
            <w:vAlign w:val="center"/>
          </w:tcPr>
          <w:p>
            <w:pPr>
              <w:spacing w:line="360" w:lineRule="auto"/>
              <w:jc w:val="center"/>
              <w:rPr>
                <w:rFonts w:ascii="宋体" w:hAnsi="宋体" w:cs="宋体"/>
                <w:color w:val="auto"/>
                <w:sz w:val="21"/>
                <w:szCs w:val="21"/>
                <w:highlight w:val="none"/>
              </w:rPr>
            </w:pPr>
          </w:p>
        </w:tc>
        <w:tc>
          <w:tcPr>
            <w:tcW w:w="714" w:type="dxa"/>
            <w:shd w:val="clear" w:color="auto" w:fill="auto"/>
            <w:vAlign w:val="center"/>
          </w:tcPr>
          <w:p>
            <w:pPr>
              <w:spacing w:line="360" w:lineRule="auto"/>
              <w:jc w:val="center"/>
              <w:rPr>
                <w:rFonts w:ascii="宋体" w:hAnsi="宋体" w:cs="宋体"/>
                <w:color w:val="auto"/>
                <w:sz w:val="21"/>
                <w:szCs w:val="21"/>
                <w:highlight w:val="none"/>
              </w:rPr>
            </w:pPr>
          </w:p>
        </w:tc>
        <w:tc>
          <w:tcPr>
            <w:tcW w:w="874" w:type="dxa"/>
            <w:shd w:val="clear" w:color="auto" w:fill="EEECE1"/>
            <w:vAlign w:val="center"/>
          </w:tcPr>
          <w:p>
            <w:pPr>
              <w:spacing w:line="360" w:lineRule="auto"/>
              <w:jc w:val="center"/>
              <w:rPr>
                <w:rFonts w:ascii="宋体" w:hAnsi="宋体" w:cs="宋体"/>
                <w:color w:val="auto"/>
                <w:sz w:val="21"/>
                <w:szCs w:val="21"/>
                <w:highlight w:val="none"/>
              </w:rPr>
            </w:pPr>
          </w:p>
        </w:tc>
        <w:tc>
          <w:tcPr>
            <w:tcW w:w="875" w:type="dxa"/>
            <w:shd w:val="clear" w:color="auto" w:fill="EEECE1"/>
            <w:vAlign w:val="center"/>
          </w:tcPr>
          <w:p>
            <w:pPr>
              <w:spacing w:line="360" w:lineRule="auto"/>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92" w:type="dxa"/>
            <w:shd w:val="clear" w:color="auto" w:fill="auto"/>
            <w:vAlign w:val="center"/>
          </w:tcPr>
          <w:p>
            <w:pPr>
              <w:numPr>
                <w:ilvl w:val="0"/>
                <w:numId w:val="40"/>
              </w:numPr>
              <w:autoSpaceDE/>
              <w:autoSpaceDN/>
              <w:adjustRightInd/>
              <w:spacing w:line="360" w:lineRule="auto"/>
              <w:jc w:val="center"/>
              <w:rPr>
                <w:rFonts w:ascii="宋体" w:hAnsi="宋体" w:cs="宋体"/>
                <w:color w:val="auto"/>
                <w:sz w:val="21"/>
                <w:szCs w:val="21"/>
                <w:highlight w:val="none"/>
              </w:rPr>
            </w:pPr>
          </w:p>
        </w:tc>
        <w:tc>
          <w:tcPr>
            <w:tcW w:w="5743" w:type="dxa"/>
            <w:shd w:val="clear" w:color="auto" w:fill="auto"/>
            <w:vAlign w:val="center"/>
          </w:tcPr>
          <w:p>
            <w:pPr>
              <w:pStyle w:val="8"/>
              <w:spacing w:line="360" w:lineRule="auto"/>
              <w:rPr>
                <w:rFonts w:hAnsi="宋体" w:cs="宋体"/>
                <w:color w:val="auto"/>
                <w:sz w:val="21"/>
                <w:highlight w:val="none"/>
              </w:rPr>
            </w:pPr>
          </w:p>
        </w:tc>
        <w:tc>
          <w:tcPr>
            <w:tcW w:w="754" w:type="dxa"/>
            <w:shd w:val="clear" w:color="auto" w:fill="auto"/>
            <w:vAlign w:val="center"/>
          </w:tcPr>
          <w:p>
            <w:pPr>
              <w:spacing w:line="360" w:lineRule="auto"/>
              <w:jc w:val="center"/>
              <w:rPr>
                <w:rFonts w:ascii="宋体" w:hAnsi="宋体" w:cs="宋体"/>
                <w:color w:val="auto"/>
                <w:sz w:val="21"/>
                <w:szCs w:val="21"/>
                <w:highlight w:val="none"/>
              </w:rPr>
            </w:pPr>
          </w:p>
        </w:tc>
        <w:tc>
          <w:tcPr>
            <w:tcW w:w="714" w:type="dxa"/>
            <w:shd w:val="clear" w:color="auto" w:fill="auto"/>
            <w:vAlign w:val="center"/>
          </w:tcPr>
          <w:p>
            <w:pPr>
              <w:spacing w:line="360" w:lineRule="auto"/>
              <w:jc w:val="center"/>
              <w:rPr>
                <w:rFonts w:ascii="宋体" w:hAnsi="宋体" w:cs="宋体"/>
                <w:color w:val="auto"/>
                <w:sz w:val="21"/>
                <w:szCs w:val="21"/>
                <w:highlight w:val="none"/>
              </w:rPr>
            </w:pPr>
          </w:p>
        </w:tc>
        <w:tc>
          <w:tcPr>
            <w:tcW w:w="874" w:type="dxa"/>
            <w:shd w:val="clear" w:color="auto" w:fill="EEECE1"/>
            <w:vAlign w:val="center"/>
          </w:tcPr>
          <w:p>
            <w:pPr>
              <w:spacing w:line="360" w:lineRule="auto"/>
              <w:jc w:val="center"/>
              <w:rPr>
                <w:rFonts w:ascii="宋体" w:hAnsi="宋体" w:cs="宋体"/>
                <w:color w:val="auto"/>
                <w:sz w:val="21"/>
                <w:szCs w:val="21"/>
                <w:highlight w:val="none"/>
              </w:rPr>
            </w:pPr>
          </w:p>
        </w:tc>
        <w:tc>
          <w:tcPr>
            <w:tcW w:w="875" w:type="dxa"/>
            <w:shd w:val="clear" w:color="auto" w:fill="EEECE1"/>
            <w:vAlign w:val="center"/>
          </w:tcPr>
          <w:p>
            <w:pPr>
              <w:spacing w:line="360" w:lineRule="auto"/>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92" w:type="dxa"/>
            <w:shd w:val="clear" w:color="auto" w:fill="auto"/>
            <w:vAlign w:val="center"/>
          </w:tcPr>
          <w:p>
            <w:pPr>
              <w:numPr>
                <w:ilvl w:val="0"/>
                <w:numId w:val="40"/>
              </w:numPr>
              <w:autoSpaceDE/>
              <w:autoSpaceDN/>
              <w:adjustRightInd/>
              <w:spacing w:line="360" w:lineRule="auto"/>
              <w:jc w:val="center"/>
              <w:rPr>
                <w:rFonts w:ascii="宋体" w:hAnsi="宋体" w:cs="宋体"/>
                <w:color w:val="auto"/>
                <w:sz w:val="21"/>
                <w:szCs w:val="21"/>
                <w:highlight w:val="none"/>
              </w:rPr>
            </w:pPr>
          </w:p>
        </w:tc>
        <w:tc>
          <w:tcPr>
            <w:tcW w:w="5743" w:type="dxa"/>
            <w:shd w:val="clear" w:color="auto" w:fill="auto"/>
            <w:vAlign w:val="center"/>
          </w:tcPr>
          <w:p>
            <w:pPr>
              <w:pStyle w:val="8"/>
              <w:spacing w:line="360" w:lineRule="auto"/>
              <w:rPr>
                <w:rFonts w:hAnsi="宋体" w:cs="宋体"/>
                <w:color w:val="auto"/>
                <w:sz w:val="21"/>
                <w:highlight w:val="none"/>
              </w:rPr>
            </w:pPr>
          </w:p>
        </w:tc>
        <w:tc>
          <w:tcPr>
            <w:tcW w:w="754" w:type="dxa"/>
            <w:shd w:val="clear" w:color="auto" w:fill="auto"/>
            <w:vAlign w:val="center"/>
          </w:tcPr>
          <w:p>
            <w:pPr>
              <w:spacing w:line="360" w:lineRule="auto"/>
              <w:jc w:val="center"/>
              <w:rPr>
                <w:rFonts w:ascii="宋体" w:hAnsi="宋体" w:cs="宋体"/>
                <w:color w:val="auto"/>
                <w:sz w:val="21"/>
                <w:szCs w:val="21"/>
                <w:highlight w:val="none"/>
              </w:rPr>
            </w:pPr>
          </w:p>
        </w:tc>
        <w:tc>
          <w:tcPr>
            <w:tcW w:w="714" w:type="dxa"/>
            <w:shd w:val="clear" w:color="auto" w:fill="auto"/>
            <w:vAlign w:val="center"/>
          </w:tcPr>
          <w:p>
            <w:pPr>
              <w:spacing w:line="360" w:lineRule="auto"/>
              <w:jc w:val="center"/>
              <w:rPr>
                <w:rFonts w:ascii="宋体" w:hAnsi="宋体" w:cs="宋体"/>
                <w:color w:val="auto"/>
                <w:sz w:val="21"/>
                <w:szCs w:val="21"/>
                <w:highlight w:val="none"/>
              </w:rPr>
            </w:pPr>
          </w:p>
        </w:tc>
        <w:tc>
          <w:tcPr>
            <w:tcW w:w="874" w:type="dxa"/>
            <w:shd w:val="clear" w:color="auto" w:fill="EEECE1"/>
            <w:vAlign w:val="center"/>
          </w:tcPr>
          <w:p>
            <w:pPr>
              <w:spacing w:line="360" w:lineRule="auto"/>
              <w:jc w:val="center"/>
              <w:rPr>
                <w:rFonts w:ascii="宋体" w:hAnsi="宋体" w:cs="宋体"/>
                <w:color w:val="auto"/>
                <w:sz w:val="21"/>
                <w:szCs w:val="21"/>
                <w:highlight w:val="none"/>
              </w:rPr>
            </w:pPr>
          </w:p>
        </w:tc>
        <w:tc>
          <w:tcPr>
            <w:tcW w:w="875" w:type="dxa"/>
            <w:shd w:val="clear" w:color="auto" w:fill="EEECE1"/>
            <w:vAlign w:val="center"/>
          </w:tcPr>
          <w:p>
            <w:pPr>
              <w:spacing w:line="360" w:lineRule="auto"/>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92" w:type="dxa"/>
            <w:shd w:val="clear" w:color="auto" w:fill="auto"/>
            <w:vAlign w:val="center"/>
          </w:tcPr>
          <w:p>
            <w:pPr>
              <w:numPr>
                <w:ilvl w:val="0"/>
                <w:numId w:val="40"/>
              </w:numPr>
              <w:autoSpaceDE/>
              <w:autoSpaceDN/>
              <w:adjustRightInd/>
              <w:spacing w:line="360" w:lineRule="auto"/>
              <w:jc w:val="center"/>
              <w:rPr>
                <w:rFonts w:ascii="宋体" w:hAnsi="宋体" w:cs="宋体"/>
                <w:color w:val="auto"/>
                <w:sz w:val="21"/>
                <w:szCs w:val="21"/>
                <w:highlight w:val="none"/>
              </w:rPr>
            </w:pPr>
          </w:p>
        </w:tc>
        <w:tc>
          <w:tcPr>
            <w:tcW w:w="5743" w:type="dxa"/>
            <w:shd w:val="clear" w:color="auto" w:fill="auto"/>
            <w:vAlign w:val="center"/>
          </w:tcPr>
          <w:p>
            <w:pPr>
              <w:pStyle w:val="8"/>
              <w:spacing w:line="360" w:lineRule="auto"/>
              <w:rPr>
                <w:rFonts w:hAnsi="宋体" w:cs="宋体"/>
                <w:color w:val="auto"/>
                <w:sz w:val="21"/>
                <w:highlight w:val="none"/>
              </w:rPr>
            </w:pPr>
          </w:p>
        </w:tc>
        <w:tc>
          <w:tcPr>
            <w:tcW w:w="754" w:type="dxa"/>
            <w:shd w:val="clear" w:color="auto" w:fill="auto"/>
            <w:vAlign w:val="center"/>
          </w:tcPr>
          <w:p>
            <w:pPr>
              <w:spacing w:line="360" w:lineRule="auto"/>
              <w:jc w:val="center"/>
              <w:rPr>
                <w:rFonts w:ascii="宋体" w:hAnsi="宋体" w:cs="宋体"/>
                <w:color w:val="auto"/>
                <w:sz w:val="21"/>
                <w:szCs w:val="21"/>
                <w:highlight w:val="none"/>
              </w:rPr>
            </w:pPr>
          </w:p>
        </w:tc>
        <w:tc>
          <w:tcPr>
            <w:tcW w:w="714" w:type="dxa"/>
            <w:shd w:val="clear" w:color="auto" w:fill="auto"/>
            <w:vAlign w:val="center"/>
          </w:tcPr>
          <w:p>
            <w:pPr>
              <w:spacing w:line="360" w:lineRule="auto"/>
              <w:jc w:val="center"/>
              <w:rPr>
                <w:rFonts w:ascii="宋体" w:hAnsi="宋体" w:cs="宋体"/>
                <w:color w:val="auto"/>
                <w:sz w:val="21"/>
                <w:szCs w:val="21"/>
                <w:highlight w:val="none"/>
              </w:rPr>
            </w:pPr>
          </w:p>
        </w:tc>
        <w:tc>
          <w:tcPr>
            <w:tcW w:w="874" w:type="dxa"/>
            <w:shd w:val="clear" w:color="auto" w:fill="EEECE1"/>
            <w:vAlign w:val="center"/>
          </w:tcPr>
          <w:p>
            <w:pPr>
              <w:spacing w:line="360" w:lineRule="auto"/>
              <w:jc w:val="center"/>
              <w:rPr>
                <w:rFonts w:ascii="宋体" w:hAnsi="宋体" w:cs="宋体"/>
                <w:color w:val="auto"/>
                <w:sz w:val="21"/>
                <w:szCs w:val="21"/>
                <w:highlight w:val="none"/>
              </w:rPr>
            </w:pPr>
          </w:p>
        </w:tc>
        <w:tc>
          <w:tcPr>
            <w:tcW w:w="875" w:type="dxa"/>
            <w:shd w:val="clear" w:color="auto" w:fill="EEECE1"/>
            <w:vAlign w:val="center"/>
          </w:tcPr>
          <w:p>
            <w:pPr>
              <w:spacing w:line="360" w:lineRule="auto"/>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92" w:type="dxa"/>
            <w:shd w:val="clear" w:color="auto" w:fill="auto"/>
            <w:vAlign w:val="center"/>
          </w:tcPr>
          <w:p>
            <w:pPr>
              <w:numPr>
                <w:ilvl w:val="0"/>
                <w:numId w:val="40"/>
              </w:numPr>
              <w:autoSpaceDE/>
              <w:autoSpaceDN/>
              <w:adjustRightInd/>
              <w:spacing w:line="360" w:lineRule="auto"/>
              <w:jc w:val="center"/>
              <w:rPr>
                <w:rFonts w:ascii="宋体" w:hAnsi="宋体" w:cs="宋体"/>
                <w:color w:val="auto"/>
                <w:sz w:val="21"/>
                <w:szCs w:val="21"/>
                <w:highlight w:val="none"/>
              </w:rPr>
            </w:pPr>
          </w:p>
        </w:tc>
        <w:tc>
          <w:tcPr>
            <w:tcW w:w="5743" w:type="dxa"/>
            <w:shd w:val="clear" w:color="auto" w:fill="auto"/>
            <w:vAlign w:val="center"/>
          </w:tcPr>
          <w:p>
            <w:pPr>
              <w:pStyle w:val="8"/>
              <w:spacing w:line="360" w:lineRule="auto"/>
              <w:rPr>
                <w:rFonts w:hAnsi="宋体" w:cs="宋体"/>
                <w:color w:val="auto"/>
                <w:sz w:val="21"/>
                <w:highlight w:val="none"/>
              </w:rPr>
            </w:pPr>
          </w:p>
        </w:tc>
        <w:tc>
          <w:tcPr>
            <w:tcW w:w="754" w:type="dxa"/>
            <w:shd w:val="clear" w:color="auto" w:fill="auto"/>
            <w:vAlign w:val="center"/>
          </w:tcPr>
          <w:p>
            <w:pPr>
              <w:spacing w:line="360" w:lineRule="auto"/>
              <w:jc w:val="center"/>
              <w:rPr>
                <w:rFonts w:ascii="宋体" w:hAnsi="宋体" w:cs="宋体"/>
                <w:color w:val="auto"/>
                <w:sz w:val="21"/>
                <w:szCs w:val="21"/>
                <w:highlight w:val="none"/>
              </w:rPr>
            </w:pPr>
          </w:p>
        </w:tc>
        <w:tc>
          <w:tcPr>
            <w:tcW w:w="714" w:type="dxa"/>
            <w:shd w:val="clear" w:color="auto" w:fill="auto"/>
            <w:vAlign w:val="center"/>
          </w:tcPr>
          <w:p>
            <w:pPr>
              <w:spacing w:line="360" w:lineRule="auto"/>
              <w:jc w:val="center"/>
              <w:rPr>
                <w:rFonts w:ascii="宋体" w:hAnsi="宋体" w:cs="宋体"/>
                <w:color w:val="auto"/>
                <w:sz w:val="21"/>
                <w:szCs w:val="21"/>
                <w:highlight w:val="none"/>
              </w:rPr>
            </w:pPr>
          </w:p>
        </w:tc>
        <w:tc>
          <w:tcPr>
            <w:tcW w:w="874" w:type="dxa"/>
            <w:shd w:val="clear" w:color="auto" w:fill="EEECE1"/>
            <w:vAlign w:val="center"/>
          </w:tcPr>
          <w:p>
            <w:pPr>
              <w:spacing w:line="360" w:lineRule="auto"/>
              <w:jc w:val="center"/>
              <w:rPr>
                <w:rFonts w:ascii="宋体" w:hAnsi="宋体" w:cs="宋体"/>
                <w:color w:val="auto"/>
                <w:sz w:val="21"/>
                <w:szCs w:val="21"/>
                <w:highlight w:val="none"/>
              </w:rPr>
            </w:pPr>
          </w:p>
        </w:tc>
        <w:tc>
          <w:tcPr>
            <w:tcW w:w="875" w:type="dxa"/>
            <w:shd w:val="clear" w:color="auto" w:fill="EEECE1"/>
            <w:vAlign w:val="center"/>
          </w:tcPr>
          <w:p>
            <w:pPr>
              <w:spacing w:line="360" w:lineRule="auto"/>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92" w:type="dxa"/>
            <w:shd w:val="clear" w:color="auto" w:fill="auto"/>
            <w:vAlign w:val="center"/>
          </w:tcPr>
          <w:p>
            <w:pPr>
              <w:numPr>
                <w:ilvl w:val="0"/>
                <w:numId w:val="40"/>
              </w:numPr>
              <w:autoSpaceDE/>
              <w:autoSpaceDN/>
              <w:adjustRightInd/>
              <w:spacing w:line="360" w:lineRule="auto"/>
              <w:jc w:val="center"/>
              <w:rPr>
                <w:rFonts w:ascii="宋体" w:hAnsi="宋体" w:cs="宋体"/>
                <w:color w:val="auto"/>
                <w:sz w:val="21"/>
                <w:szCs w:val="21"/>
                <w:highlight w:val="none"/>
              </w:rPr>
            </w:pPr>
          </w:p>
        </w:tc>
        <w:tc>
          <w:tcPr>
            <w:tcW w:w="5743" w:type="dxa"/>
            <w:shd w:val="clear" w:color="auto" w:fill="auto"/>
            <w:vAlign w:val="center"/>
          </w:tcPr>
          <w:p>
            <w:pPr>
              <w:spacing w:line="360" w:lineRule="auto"/>
              <w:textAlignment w:val="baseline"/>
              <w:rPr>
                <w:rFonts w:ascii="宋体" w:hAnsi="宋体" w:cs="宋体"/>
                <w:color w:val="auto"/>
                <w:sz w:val="21"/>
                <w:szCs w:val="21"/>
                <w:highlight w:val="none"/>
              </w:rPr>
            </w:pPr>
          </w:p>
        </w:tc>
        <w:tc>
          <w:tcPr>
            <w:tcW w:w="754" w:type="dxa"/>
            <w:shd w:val="clear" w:color="auto" w:fill="auto"/>
            <w:vAlign w:val="center"/>
          </w:tcPr>
          <w:p>
            <w:pPr>
              <w:spacing w:line="360" w:lineRule="auto"/>
              <w:jc w:val="center"/>
              <w:rPr>
                <w:rFonts w:ascii="宋体" w:hAnsi="宋体" w:cs="宋体"/>
                <w:color w:val="auto"/>
                <w:sz w:val="21"/>
                <w:szCs w:val="21"/>
                <w:highlight w:val="none"/>
              </w:rPr>
            </w:pPr>
          </w:p>
        </w:tc>
        <w:tc>
          <w:tcPr>
            <w:tcW w:w="714" w:type="dxa"/>
            <w:shd w:val="clear" w:color="auto" w:fill="auto"/>
            <w:vAlign w:val="center"/>
          </w:tcPr>
          <w:p>
            <w:pPr>
              <w:spacing w:line="360" w:lineRule="auto"/>
              <w:jc w:val="center"/>
              <w:rPr>
                <w:rFonts w:ascii="宋体" w:hAnsi="宋体" w:cs="宋体"/>
                <w:color w:val="auto"/>
                <w:sz w:val="21"/>
                <w:szCs w:val="21"/>
                <w:highlight w:val="none"/>
              </w:rPr>
            </w:pPr>
          </w:p>
        </w:tc>
        <w:tc>
          <w:tcPr>
            <w:tcW w:w="874" w:type="dxa"/>
            <w:shd w:val="clear" w:color="auto" w:fill="EEECE1"/>
            <w:vAlign w:val="center"/>
          </w:tcPr>
          <w:p>
            <w:pPr>
              <w:spacing w:line="360" w:lineRule="auto"/>
              <w:jc w:val="center"/>
              <w:rPr>
                <w:rFonts w:ascii="宋体" w:hAnsi="宋体" w:cs="宋体"/>
                <w:color w:val="auto"/>
                <w:sz w:val="21"/>
                <w:szCs w:val="21"/>
                <w:highlight w:val="none"/>
              </w:rPr>
            </w:pPr>
          </w:p>
        </w:tc>
        <w:tc>
          <w:tcPr>
            <w:tcW w:w="875" w:type="dxa"/>
            <w:shd w:val="clear" w:color="auto" w:fill="EEECE1"/>
            <w:vAlign w:val="center"/>
          </w:tcPr>
          <w:p>
            <w:pPr>
              <w:spacing w:line="360" w:lineRule="auto"/>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92" w:type="dxa"/>
            <w:shd w:val="clear" w:color="auto" w:fill="auto"/>
            <w:vAlign w:val="center"/>
          </w:tcPr>
          <w:p>
            <w:pPr>
              <w:numPr>
                <w:ilvl w:val="0"/>
                <w:numId w:val="40"/>
              </w:numPr>
              <w:autoSpaceDE/>
              <w:autoSpaceDN/>
              <w:adjustRightInd/>
              <w:spacing w:line="360" w:lineRule="auto"/>
              <w:jc w:val="center"/>
              <w:rPr>
                <w:rFonts w:ascii="宋体" w:hAnsi="宋体" w:cs="宋体"/>
                <w:color w:val="auto"/>
                <w:sz w:val="21"/>
                <w:szCs w:val="21"/>
                <w:highlight w:val="none"/>
              </w:rPr>
            </w:pPr>
          </w:p>
        </w:tc>
        <w:tc>
          <w:tcPr>
            <w:tcW w:w="5743" w:type="dxa"/>
            <w:shd w:val="clear" w:color="auto" w:fill="auto"/>
            <w:vAlign w:val="center"/>
          </w:tcPr>
          <w:p>
            <w:pPr>
              <w:spacing w:line="360" w:lineRule="auto"/>
              <w:textAlignment w:val="baseline"/>
              <w:rPr>
                <w:rFonts w:ascii="宋体" w:hAnsi="宋体" w:cs="宋体"/>
                <w:bCs/>
                <w:color w:val="auto"/>
                <w:sz w:val="21"/>
                <w:szCs w:val="21"/>
                <w:highlight w:val="none"/>
              </w:rPr>
            </w:pPr>
          </w:p>
        </w:tc>
        <w:tc>
          <w:tcPr>
            <w:tcW w:w="754" w:type="dxa"/>
            <w:shd w:val="clear" w:color="auto" w:fill="auto"/>
            <w:vAlign w:val="center"/>
          </w:tcPr>
          <w:p>
            <w:pPr>
              <w:spacing w:line="360" w:lineRule="auto"/>
              <w:jc w:val="center"/>
              <w:rPr>
                <w:rFonts w:ascii="宋体" w:hAnsi="宋体" w:cs="宋体"/>
                <w:color w:val="auto"/>
                <w:sz w:val="21"/>
                <w:szCs w:val="21"/>
                <w:highlight w:val="none"/>
              </w:rPr>
            </w:pPr>
          </w:p>
        </w:tc>
        <w:tc>
          <w:tcPr>
            <w:tcW w:w="714" w:type="dxa"/>
            <w:shd w:val="clear" w:color="auto" w:fill="auto"/>
            <w:vAlign w:val="center"/>
          </w:tcPr>
          <w:p>
            <w:pPr>
              <w:spacing w:line="360" w:lineRule="auto"/>
              <w:jc w:val="center"/>
              <w:rPr>
                <w:rFonts w:ascii="宋体" w:hAnsi="宋体" w:cs="宋体"/>
                <w:color w:val="auto"/>
                <w:sz w:val="21"/>
                <w:szCs w:val="21"/>
                <w:highlight w:val="none"/>
              </w:rPr>
            </w:pPr>
          </w:p>
        </w:tc>
        <w:tc>
          <w:tcPr>
            <w:tcW w:w="874" w:type="dxa"/>
            <w:shd w:val="clear" w:color="auto" w:fill="EEECE1"/>
            <w:vAlign w:val="center"/>
          </w:tcPr>
          <w:p>
            <w:pPr>
              <w:spacing w:line="360" w:lineRule="auto"/>
              <w:jc w:val="center"/>
              <w:rPr>
                <w:rFonts w:ascii="宋体" w:hAnsi="宋体" w:cs="宋体"/>
                <w:color w:val="auto"/>
                <w:sz w:val="21"/>
                <w:szCs w:val="21"/>
                <w:highlight w:val="none"/>
              </w:rPr>
            </w:pPr>
          </w:p>
        </w:tc>
        <w:tc>
          <w:tcPr>
            <w:tcW w:w="875" w:type="dxa"/>
            <w:shd w:val="clear" w:color="auto" w:fill="EEECE1"/>
            <w:vAlign w:val="center"/>
          </w:tcPr>
          <w:p>
            <w:pPr>
              <w:spacing w:line="360" w:lineRule="auto"/>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92" w:type="dxa"/>
            <w:shd w:val="clear" w:color="auto" w:fill="auto"/>
            <w:vAlign w:val="center"/>
          </w:tcPr>
          <w:p>
            <w:pPr>
              <w:numPr>
                <w:ilvl w:val="0"/>
                <w:numId w:val="40"/>
              </w:numPr>
              <w:autoSpaceDE/>
              <w:autoSpaceDN/>
              <w:adjustRightInd/>
              <w:spacing w:line="360" w:lineRule="auto"/>
              <w:jc w:val="center"/>
              <w:rPr>
                <w:rFonts w:ascii="宋体" w:hAnsi="宋体" w:cs="宋体"/>
                <w:color w:val="auto"/>
                <w:sz w:val="21"/>
                <w:szCs w:val="21"/>
                <w:highlight w:val="none"/>
              </w:rPr>
            </w:pPr>
          </w:p>
        </w:tc>
        <w:tc>
          <w:tcPr>
            <w:tcW w:w="5743" w:type="dxa"/>
            <w:shd w:val="clear" w:color="auto" w:fill="auto"/>
            <w:vAlign w:val="center"/>
          </w:tcPr>
          <w:p>
            <w:pPr>
              <w:spacing w:line="360" w:lineRule="auto"/>
              <w:textAlignment w:val="baseline"/>
              <w:rPr>
                <w:rFonts w:ascii="宋体" w:hAnsi="宋体" w:cs="宋体"/>
                <w:color w:val="auto"/>
                <w:sz w:val="21"/>
                <w:szCs w:val="21"/>
                <w:highlight w:val="none"/>
              </w:rPr>
            </w:pPr>
          </w:p>
        </w:tc>
        <w:tc>
          <w:tcPr>
            <w:tcW w:w="754" w:type="dxa"/>
            <w:shd w:val="clear" w:color="auto" w:fill="auto"/>
            <w:vAlign w:val="center"/>
          </w:tcPr>
          <w:p>
            <w:pPr>
              <w:spacing w:line="360" w:lineRule="auto"/>
              <w:jc w:val="center"/>
              <w:rPr>
                <w:rFonts w:ascii="宋体" w:hAnsi="宋体" w:cs="宋体"/>
                <w:color w:val="auto"/>
                <w:sz w:val="21"/>
                <w:szCs w:val="21"/>
                <w:highlight w:val="none"/>
              </w:rPr>
            </w:pPr>
          </w:p>
        </w:tc>
        <w:tc>
          <w:tcPr>
            <w:tcW w:w="714" w:type="dxa"/>
            <w:shd w:val="clear" w:color="auto" w:fill="auto"/>
            <w:vAlign w:val="center"/>
          </w:tcPr>
          <w:p>
            <w:pPr>
              <w:spacing w:line="360" w:lineRule="auto"/>
              <w:jc w:val="center"/>
              <w:rPr>
                <w:rFonts w:ascii="宋体" w:hAnsi="宋体" w:cs="宋体"/>
                <w:color w:val="auto"/>
                <w:sz w:val="21"/>
                <w:szCs w:val="21"/>
                <w:highlight w:val="none"/>
              </w:rPr>
            </w:pPr>
          </w:p>
        </w:tc>
        <w:tc>
          <w:tcPr>
            <w:tcW w:w="874" w:type="dxa"/>
            <w:shd w:val="clear" w:color="auto" w:fill="EEECE1"/>
            <w:vAlign w:val="center"/>
          </w:tcPr>
          <w:p>
            <w:pPr>
              <w:spacing w:line="360" w:lineRule="auto"/>
              <w:jc w:val="center"/>
              <w:rPr>
                <w:rFonts w:ascii="宋体" w:hAnsi="宋体" w:cs="宋体"/>
                <w:color w:val="auto"/>
                <w:sz w:val="21"/>
                <w:szCs w:val="21"/>
                <w:highlight w:val="none"/>
              </w:rPr>
            </w:pPr>
          </w:p>
        </w:tc>
        <w:tc>
          <w:tcPr>
            <w:tcW w:w="875" w:type="dxa"/>
            <w:shd w:val="clear" w:color="auto" w:fill="EEECE1"/>
            <w:vAlign w:val="center"/>
          </w:tcPr>
          <w:p>
            <w:pPr>
              <w:spacing w:line="360" w:lineRule="auto"/>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92" w:type="dxa"/>
            <w:shd w:val="clear" w:color="auto" w:fill="auto"/>
            <w:vAlign w:val="center"/>
          </w:tcPr>
          <w:p>
            <w:pPr>
              <w:numPr>
                <w:ilvl w:val="0"/>
                <w:numId w:val="40"/>
              </w:numPr>
              <w:autoSpaceDE/>
              <w:autoSpaceDN/>
              <w:adjustRightInd/>
              <w:spacing w:line="360" w:lineRule="auto"/>
              <w:jc w:val="center"/>
              <w:rPr>
                <w:rFonts w:ascii="宋体" w:hAnsi="宋体" w:cs="宋体"/>
                <w:color w:val="auto"/>
                <w:sz w:val="21"/>
                <w:szCs w:val="21"/>
                <w:highlight w:val="none"/>
              </w:rPr>
            </w:pPr>
          </w:p>
        </w:tc>
        <w:tc>
          <w:tcPr>
            <w:tcW w:w="5743" w:type="dxa"/>
            <w:shd w:val="clear" w:color="auto" w:fill="auto"/>
            <w:vAlign w:val="center"/>
          </w:tcPr>
          <w:p>
            <w:pPr>
              <w:spacing w:line="360" w:lineRule="auto"/>
              <w:textAlignment w:val="baseline"/>
              <w:rPr>
                <w:rFonts w:ascii="宋体" w:hAnsi="宋体" w:cs="宋体"/>
                <w:bCs/>
                <w:color w:val="auto"/>
                <w:sz w:val="21"/>
                <w:szCs w:val="21"/>
                <w:highlight w:val="none"/>
              </w:rPr>
            </w:pPr>
          </w:p>
        </w:tc>
        <w:tc>
          <w:tcPr>
            <w:tcW w:w="754" w:type="dxa"/>
            <w:shd w:val="clear" w:color="auto" w:fill="auto"/>
            <w:vAlign w:val="center"/>
          </w:tcPr>
          <w:p>
            <w:pPr>
              <w:spacing w:line="360" w:lineRule="auto"/>
              <w:jc w:val="center"/>
              <w:rPr>
                <w:rFonts w:ascii="宋体" w:hAnsi="宋体" w:cs="宋体"/>
                <w:color w:val="auto"/>
                <w:sz w:val="21"/>
                <w:szCs w:val="21"/>
                <w:highlight w:val="none"/>
              </w:rPr>
            </w:pPr>
          </w:p>
        </w:tc>
        <w:tc>
          <w:tcPr>
            <w:tcW w:w="714" w:type="dxa"/>
            <w:shd w:val="clear" w:color="auto" w:fill="auto"/>
            <w:vAlign w:val="center"/>
          </w:tcPr>
          <w:p>
            <w:pPr>
              <w:spacing w:line="360" w:lineRule="auto"/>
              <w:jc w:val="center"/>
              <w:rPr>
                <w:rFonts w:ascii="宋体" w:hAnsi="宋体" w:cs="宋体"/>
                <w:color w:val="auto"/>
                <w:sz w:val="21"/>
                <w:szCs w:val="21"/>
                <w:highlight w:val="none"/>
              </w:rPr>
            </w:pPr>
          </w:p>
        </w:tc>
        <w:tc>
          <w:tcPr>
            <w:tcW w:w="874" w:type="dxa"/>
            <w:shd w:val="clear" w:color="auto" w:fill="EEECE1"/>
            <w:vAlign w:val="center"/>
          </w:tcPr>
          <w:p>
            <w:pPr>
              <w:spacing w:line="360" w:lineRule="auto"/>
              <w:jc w:val="center"/>
              <w:rPr>
                <w:rFonts w:ascii="宋体" w:hAnsi="宋体" w:cs="宋体"/>
                <w:color w:val="auto"/>
                <w:sz w:val="21"/>
                <w:szCs w:val="21"/>
                <w:highlight w:val="none"/>
              </w:rPr>
            </w:pPr>
          </w:p>
        </w:tc>
        <w:tc>
          <w:tcPr>
            <w:tcW w:w="875" w:type="dxa"/>
            <w:shd w:val="clear" w:color="auto" w:fill="EEECE1"/>
            <w:vAlign w:val="center"/>
          </w:tcPr>
          <w:p>
            <w:pPr>
              <w:spacing w:line="360" w:lineRule="auto"/>
              <w:jc w:val="center"/>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 w:hRule="atLeast"/>
        </w:trPr>
        <w:tc>
          <w:tcPr>
            <w:tcW w:w="692" w:type="dxa"/>
            <w:shd w:val="clear" w:color="auto" w:fill="auto"/>
            <w:vAlign w:val="center"/>
          </w:tcPr>
          <w:p>
            <w:pPr>
              <w:numPr>
                <w:ilvl w:val="0"/>
                <w:numId w:val="40"/>
              </w:numPr>
              <w:autoSpaceDE/>
              <w:autoSpaceDN/>
              <w:adjustRightInd/>
              <w:spacing w:line="360" w:lineRule="auto"/>
              <w:jc w:val="center"/>
              <w:rPr>
                <w:rFonts w:ascii="宋体" w:hAnsi="宋体" w:cs="宋体"/>
                <w:color w:val="auto"/>
                <w:sz w:val="21"/>
                <w:szCs w:val="21"/>
                <w:highlight w:val="none"/>
              </w:rPr>
            </w:pPr>
          </w:p>
        </w:tc>
        <w:tc>
          <w:tcPr>
            <w:tcW w:w="5743" w:type="dxa"/>
            <w:shd w:val="clear" w:color="auto" w:fill="auto"/>
            <w:vAlign w:val="center"/>
          </w:tcPr>
          <w:p>
            <w:pPr>
              <w:spacing w:line="360" w:lineRule="auto"/>
              <w:textAlignment w:val="baseline"/>
              <w:rPr>
                <w:rFonts w:ascii="宋体" w:hAnsi="宋体" w:cs="宋体"/>
                <w:color w:val="auto"/>
                <w:sz w:val="21"/>
                <w:szCs w:val="21"/>
                <w:highlight w:val="none"/>
              </w:rPr>
            </w:pPr>
          </w:p>
        </w:tc>
        <w:tc>
          <w:tcPr>
            <w:tcW w:w="754" w:type="dxa"/>
            <w:shd w:val="clear" w:color="auto" w:fill="auto"/>
            <w:vAlign w:val="center"/>
          </w:tcPr>
          <w:p>
            <w:pPr>
              <w:spacing w:line="360" w:lineRule="auto"/>
              <w:jc w:val="center"/>
              <w:rPr>
                <w:rFonts w:ascii="宋体" w:hAnsi="宋体" w:cs="宋体"/>
                <w:color w:val="auto"/>
                <w:sz w:val="21"/>
                <w:szCs w:val="21"/>
                <w:highlight w:val="none"/>
              </w:rPr>
            </w:pPr>
          </w:p>
        </w:tc>
        <w:tc>
          <w:tcPr>
            <w:tcW w:w="714" w:type="dxa"/>
            <w:shd w:val="clear" w:color="auto" w:fill="auto"/>
            <w:vAlign w:val="center"/>
          </w:tcPr>
          <w:p>
            <w:pPr>
              <w:spacing w:line="360" w:lineRule="auto"/>
              <w:jc w:val="center"/>
              <w:rPr>
                <w:rFonts w:ascii="宋体" w:hAnsi="宋体" w:cs="宋体"/>
                <w:color w:val="auto"/>
                <w:sz w:val="21"/>
                <w:szCs w:val="21"/>
                <w:highlight w:val="none"/>
              </w:rPr>
            </w:pPr>
          </w:p>
        </w:tc>
        <w:tc>
          <w:tcPr>
            <w:tcW w:w="874" w:type="dxa"/>
            <w:shd w:val="clear" w:color="auto" w:fill="EEECE1"/>
            <w:vAlign w:val="center"/>
          </w:tcPr>
          <w:p>
            <w:pPr>
              <w:spacing w:line="360" w:lineRule="auto"/>
              <w:jc w:val="center"/>
              <w:rPr>
                <w:rFonts w:ascii="宋体" w:hAnsi="宋体" w:cs="宋体"/>
                <w:color w:val="auto"/>
                <w:sz w:val="21"/>
                <w:szCs w:val="21"/>
                <w:highlight w:val="none"/>
              </w:rPr>
            </w:pPr>
          </w:p>
        </w:tc>
        <w:tc>
          <w:tcPr>
            <w:tcW w:w="875" w:type="dxa"/>
            <w:shd w:val="clear" w:color="auto" w:fill="EEECE1"/>
            <w:vAlign w:val="center"/>
          </w:tcPr>
          <w:p>
            <w:pPr>
              <w:spacing w:line="360" w:lineRule="auto"/>
              <w:jc w:val="center"/>
              <w:rPr>
                <w:rFonts w:ascii="宋体" w:hAnsi="宋体" w:cs="宋体"/>
                <w:color w:val="auto"/>
                <w:sz w:val="21"/>
                <w:szCs w:val="21"/>
                <w:highlight w:val="none"/>
              </w:rPr>
            </w:pPr>
          </w:p>
        </w:tc>
      </w:tr>
    </w:tbl>
    <w:p>
      <w:pPr>
        <w:autoSpaceDE/>
        <w:autoSpaceDN/>
        <w:adjustRightInd/>
        <w:spacing w:line="360" w:lineRule="auto"/>
        <w:jc w:val="both"/>
        <w:rPr>
          <w:rFonts w:ascii="宋体" w:hAnsi="宋体" w:cs="宋体"/>
          <w:b/>
          <w:bCs/>
          <w:color w:val="auto"/>
          <w:sz w:val="24"/>
          <w:highlight w:val="none"/>
        </w:rPr>
      </w:pPr>
      <w:r>
        <w:rPr>
          <w:rFonts w:hint="eastAsia" w:ascii="宋体" w:hAnsi="宋体" w:cs="宋体"/>
          <w:b/>
          <w:bCs/>
          <w:color w:val="auto"/>
          <w:sz w:val="24"/>
          <w:highlight w:val="none"/>
        </w:rPr>
        <w:t>注：投标人可根据实际情况编制投标文件目录。</w:t>
      </w:r>
    </w:p>
    <w:p>
      <w:pPr>
        <w:numPr>
          <w:ilvl w:val="0"/>
          <w:numId w:val="41"/>
        </w:numPr>
        <w:autoSpaceDE/>
        <w:autoSpaceDN/>
        <w:adjustRightInd/>
        <w:spacing w:line="360" w:lineRule="auto"/>
        <w:jc w:val="both"/>
        <w:rPr>
          <w:rFonts w:ascii="宋体" w:hAnsi="宋体" w:cs="宋体"/>
          <w:bCs/>
          <w:color w:val="auto"/>
          <w:sz w:val="28"/>
          <w:highlight w:val="none"/>
        </w:rPr>
      </w:pPr>
      <w:r>
        <w:rPr>
          <w:rFonts w:hint="eastAsia" w:ascii="宋体" w:hAnsi="宋体" w:cs="宋体"/>
          <w:bCs/>
          <w:color w:val="auto"/>
          <w:sz w:val="28"/>
          <w:highlight w:val="none"/>
        </w:rPr>
        <w:br w:type="page"/>
      </w:r>
    </w:p>
    <w:p>
      <w:pPr>
        <w:rPr>
          <w:rFonts w:ascii="宋体" w:hAnsi="宋体" w:cs="宋体"/>
          <w:color w:val="auto"/>
          <w:highlight w:val="none"/>
        </w:rPr>
      </w:pPr>
      <w:bookmarkStart w:id="16" w:name="_Toc416770264"/>
      <w:bookmarkStart w:id="17" w:name="_Toc416771374"/>
    </w:p>
    <w:p>
      <w:pPr>
        <w:pStyle w:val="2"/>
        <w:adjustRightInd w:val="0"/>
        <w:snapToGrid w:val="0"/>
        <w:spacing w:before="156" w:beforeLines="50" w:after="156" w:afterLines="50"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（一）开标一览表</w:t>
      </w:r>
      <w:bookmarkEnd w:id="16"/>
      <w:bookmarkEnd w:id="17"/>
    </w:p>
    <w:p>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项目名称：中山市火炬科学技术学校小卖部承包经营项目                           </w:t>
      </w:r>
    </w:p>
    <w:p>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项目编号：FH2022CG0113</w:t>
      </w:r>
    </w:p>
    <w:tbl>
      <w:tblPr>
        <w:tblStyle w:val="20"/>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17"/>
        <w:gridCol w:w="329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exact"/>
          <w:jc w:val="center"/>
        </w:trPr>
        <w:tc>
          <w:tcPr>
            <w:tcW w:w="4317" w:type="dxa"/>
            <w:shd w:val="clear" w:color="auto" w:fill="EDEBE0"/>
            <w:vAlign w:val="center"/>
          </w:tcPr>
          <w:p>
            <w:pPr>
              <w:pStyle w:val="47"/>
              <w:kinsoku w:val="0"/>
              <w:overflowPunct w:val="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项目名称</w:t>
            </w:r>
          </w:p>
        </w:tc>
        <w:tc>
          <w:tcPr>
            <w:tcW w:w="3299" w:type="dxa"/>
            <w:shd w:val="clear" w:color="auto" w:fill="EDEBE0"/>
            <w:vAlign w:val="center"/>
          </w:tcPr>
          <w:p>
            <w:pPr>
              <w:pStyle w:val="47"/>
              <w:kinsoku w:val="0"/>
              <w:overflowPunct w:val="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投标折扣率</w:t>
            </w:r>
          </w:p>
        </w:tc>
        <w:tc>
          <w:tcPr>
            <w:tcW w:w="1560" w:type="dxa"/>
            <w:shd w:val="clear" w:color="auto" w:fill="EDEBE0"/>
            <w:vAlign w:val="center"/>
          </w:tcPr>
          <w:p>
            <w:pPr>
              <w:pStyle w:val="47"/>
              <w:kinsoku w:val="0"/>
              <w:overflowPunct w:val="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exact"/>
          <w:jc w:val="center"/>
        </w:trPr>
        <w:tc>
          <w:tcPr>
            <w:tcW w:w="4317" w:type="dxa"/>
            <w:vAlign w:val="center"/>
          </w:tcPr>
          <w:p>
            <w:pPr>
              <w:pStyle w:val="47"/>
              <w:kinsoku w:val="0"/>
              <w:overflowPunct w:val="0"/>
              <w:jc w:val="center"/>
              <w:rPr>
                <w:rFonts w:ascii="宋体" w:hAnsi="宋体" w:cs="宋体"/>
                <w:color w:val="auto"/>
                <w:sz w:val="21"/>
                <w:szCs w:val="21"/>
                <w:highlight w:val="none"/>
                <w:lang w:bidi="en-US"/>
              </w:rPr>
            </w:pPr>
            <w:r>
              <w:rPr>
                <w:rFonts w:hint="eastAsia" w:ascii="宋体" w:hAnsi="宋体" w:cs="宋体"/>
                <w:color w:val="auto"/>
                <w:sz w:val="21"/>
                <w:szCs w:val="21"/>
                <w:highlight w:val="none"/>
                <w:lang w:bidi="en-US"/>
              </w:rPr>
              <w:t>中山市火炬科学技术学校小卖部承包经营项目</w:t>
            </w:r>
          </w:p>
        </w:tc>
        <w:tc>
          <w:tcPr>
            <w:tcW w:w="3299" w:type="dxa"/>
          </w:tcPr>
          <w:p>
            <w:pPr>
              <w:spacing w:line="480" w:lineRule="auto"/>
              <w:rPr>
                <w:rFonts w:ascii="宋体" w:hAnsi="宋体" w:cs="宋体"/>
                <w:color w:val="auto"/>
                <w:sz w:val="21"/>
                <w:szCs w:val="21"/>
                <w:highlight w:val="none"/>
              </w:rPr>
            </w:pPr>
            <w:r>
              <w:rPr>
                <w:rFonts w:hint="eastAsia" w:ascii="宋体" w:hAnsi="宋体" w:cs="宋体"/>
                <w:color w:val="auto"/>
                <w:sz w:val="21"/>
                <w:szCs w:val="21"/>
                <w:highlight w:val="none"/>
              </w:rPr>
              <w:t>大写：百分之</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480" w:lineRule="auto"/>
              <w:rPr>
                <w:rFonts w:ascii="宋体" w:hAnsi="宋体" w:cs="宋体"/>
                <w:color w:val="auto"/>
                <w:sz w:val="21"/>
                <w:szCs w:val="21"/>
                <w:highlight w:val="none"/>
              </w:rPr>
            </w:pPr>
            <w:r>
              <w:rPr>
                <w:rFonts w:hint="eastAsia" w:ascii="宋体" w:hAnsi="宋体" w:cs="宋体"/>
                <w:color w:val="auto"/>
                <w:sz w:val="21"/>
                <w:szCs w:val="21"/>
                <w:highlight w:val="none"/>
              </w:rPr>
              <w:t>小写：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c>
          <w:tcPr>
            <w:tcW w:w="1560" w:type="dxa"/>
            <w:vAlign w:val="center"/>
          </w:tcPr>
          <w:p>
            <w:pPr>
              <w:spacing w:line="500" w:lineRule="exact"/>
              <w:ind w:left="200"/>
              <w:jc w:val="center"/>
              <w:rPr>
                <w:rFonts w:ascii="宋体" w:hAnsi="宋体" w:cs="宋体"/>
                <w:color w:val="auto"/>
                <w:sz w:val="21"/>
                <w:szCs w:val="21"/>
                <w:highlight w:val="none"/>
              </w:rPr>
            </w:pPr>
            <w:r>
              <w:rPr>
                <w:rFonts w:hint="eastAsia" w:ascii="宋体" w:hAnsi="宋体" w:cs="宋体"/>
                <w:color w:val="auto"/>
                <w:sz w:val="21"/>
                <w:szCs w:val="21"/>
                <w:highlight w:val="none"/>
              </w:rPr>
              <w:t>3年</w:t>
            </w:r>
          </w:p>
        </w:tc>
      </w:tr>
    </w:tbl>
    <w:p>
      <w:pPr>
        <w:spacing w:line="360" w:lineRule="auto"/>
        <w:ind w:left="118" w:leftChars="59" w:firstLine="4393" w:firstLineChars="2092"/>
        <w:rPr>
          <w:rFonts w:ascii="宋体" w:hAnsi="宋体" w:cs="宋体"/>
          <w:color w:val="auto"/>
          <w:sz w:val="21"/>
          <w:szCs w:val="21"/>
          <w:highlight w:val="none"/>
        </w:rPr>
      </w:pPr>
    </w:p>
    <w:p>
      <w:pPr>
        <w:spacing w:line="360" w:lineRule="auto"/>
        <w:ind w:left="118" w:leftChars="59" w:firstLine="4393" w:firstLineChars="2092"/>
        <w:rPr>
          <w:rFonts w:ascii="宋体" w:hAnsi="宋体" w:cs="宋体"/>
          <w:color w:val="auto"/>
          <w:sz w:val="21"/>
          <w:szCs w:val="21"/>
          <w:highlight w:val="none"/>
        </w:rPr>
      </w:pP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投标人名称（单位盖公章）： </w:t>
      </w: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法定代表人或投标人授权代表（签名或盖私章）：</w:t>
      </w:r>
      <w:r>
        <w:rPr>
          <w:rFonts w:hint="eastAsia" w:ascii="宋体" w:hAnsi="宋体" w:cs="宋体"/>
          <w:color w:val="auto"/>
          <w:sz w:val="21"/>
          <w:szCs w:val="21"/>
          <w:highlight w:val="none"/>
        </w:rPr>
        <w:tab/>
      </w: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pPr>
        <w:snapToGrid w:val="0"/>
        <w:spacing w:line="360" w:lineRule="auto"/>
        <w:rPr>
          <w:rFonts w:ascii="宋体" w:hAnsi="宋体" w:cs="宋体"/>
          <w:color w:val="auto"/>
          <w:sz w:val="21"/>
          <w:szCs w:val="21"/>
          <w:highlight w:val="none"/>
        </w:rPr>
      </w:pPr>
    </w:p>
    <w:p>
      <w:pPr>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p>
      <w:pPr>
        <w:numPr>
          <w:ilvl w:val="0"/>
          <w:numId w:val="42"/>
        </w:numPr>
        <w:autoSpaceDE/>
        <w:autoSpaceDN/>
        <w:adjustRightInd/>
        <w:snapToGrid w:val="0"/>
        <w:spacing w:line="360" w:lineRule="auto"/>
        <w:jc w:val="both"/>
        <w:rPr>
          <w:rFonts w:ascii="宋体" w:hAnsi="宋体" w:cs="宋体"/>
          <w:b/>
          <w:color w:val="auto"/>
          <w:spacing w:val="4"/>
          <w:sz w:val="21"/>
          <w:szCs w:val="21"/>
          <w:highlight w:val="none"/>
        </w:rPr>
      </w:pPr>
      <w:r>
        <w:rPr>
          <w:rFonts w:hint="eastAsia" w:ascii="宋体" w:hAnsi="宋体" w:cs="宋体"/>
          <w:b/>
          <w:color w:val="auto"/>
          <w:spacing w:val="4"/>
          <w:sz w:val="21"/>
          <w:szCs w:val="21"/>
          <w:highlight w:val="none"/>
        </w:rPr>
        <w:t>中文大写：一、二、三、四、五、六、七、八、九、十等。示例：80%（大写百分之八十）。</w:t>
      </w:r>
    </w:p>
    <w:p>
      <w:pPr>
        <w:numPr>
          <w:ilvl w:val="0"/>
          <w:numId w:val="42"/>
        </w:numPr>
        <w:autoSpaceDE/>
        <w:autoSpaceDN/>
        <w:adjustRightInd/>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投标报价的小数点后保留两位有效数。</w:t>
      </w:r>
    </w:p>
    <w:p>
      <w:pPr>
        <w:numPr>
          <w:ilvl w:val="0"/>
          <w:numId w:val="42"/>
        </w:numPr>
        <w:autoSpaceDE/>
        <w:autoSpaceDN/>
        <w:adjustRightInd/>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此表须附在正、副本的投标文件中。</w:t>
      </w:r>
    </w:p>
    <w:p>
      <w:pPr>
        <w:numPr>
          <w:ilvl w:val="0"/>
          <w:numId w:val="42"/>
        </w:numPr>
        <w:autoSpaceDE/>
        <w:autoSpaceDN/>
        <w:adjustRightInd/>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投标报价要求具体见招标文件的要求。</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t xml:space="preserve">      </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2"/>
        <w:adjustRightInd w:val="0"/>
        <w:snapToGrid w:val="0"/>
        <w:spacing w:before="156" w:beforeLines="50" w:after="156" w:afterLines="50" w:line="336" w:lineRule="auto"/>
        <w:jc w:val="center"/>
        <w:rPr>
          <w:rFonts w:ascii="宋体" w:hAnsi="宋体" w:eastAsia="宋体" w:cs="宋体"/>
          <w:b w:val="0"/>
          <w:color w:val="auto"/>
          <w:kern w:val="0"/>
          <w:highlight w:val="none"/>
        </w:rPr>
      </w:pPr>
      <w:r>
        <w:rPr>
          <w:rFonts w:hint="eastAsia" w:ascii="宋体" w:hAnsi="宋体" w:eastAsia="宋体" w:cs="宋体"/>
          <w:b w:val="0"/>
          <w:color w:val="auto"/>
          <w:kern w:val="0"/>
          <w:highlight w:val="none"/>
        </w:rPr>
        <w:t>（二）投标函</w:t>
      </w:r>
    </w:p>
    <w:p>
      <w:pPr>
        <w:tabs>
          <w:tab w:val="left" w:pos="284"/>
        </w:tabs>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致：方禾（广东）项目管理有限公司</w:t>
      </w:r>
    </w:p>
    <w:p>
      <w:pPr>
        <w:tabs>
          <w:tab w:val="left" w:pos="284"/>
        </w:tabs>
        <w:spacing w:line="360" w:lineRule="auto"/>
        <w:ind w:left="100" w:leftChars="50" w:firstLine="373" w:firstLineChars="178"/>
        <w:rPr>
          <w:rFonts w:ascii="宋体" w:hAnsi="宋体" w:cs="宋体"/>
          <w:color w:val="auto"/>
          <w:sz w:val="21"/>
          <w:szCs w:val="21"/>
          <w:highlight w:val="none"/>
        </w:rPr>
      </w:pPr>
      <w:r>
        <w:rPr>
          <w:rFonts w:hint="eastAsia" w:ascii="宋体" w:hAnsi="宋体" w:cs="宋体"/>
          <w:color w:val="auto"/>
          <w:sz w:val="21"/>
          <w:szCs w:val="21"/>
          <w:highlight w:val="none"/>
        </w:rPr>
        <w:t>我方确认收到贵方</w:t>
      </w:r>
      <w:r>
        <w:rPr>
          <w:rFonts w:hint="eastAsia" w:ascii="宋体" w:hAnsi="宋体" w:cs="宋体"/>
          <w:color w:val="auto"/>
          <w:kern w:val="28"/>
          <w:sz w:val="21"/>
          <w:szCs w:val="21"/>
          <w:highlight w:val="none"/>
          <w:u w:val="single"/>
        </w:rPr>
        <w:t xml:space="preserve">  中山市火炬科学技术学校小卖部承包经营项目  的</w:t>
      </w:r>
      <w:r>
        <w:rPr>
          <w:rFonts w:hint="eastAsia" w:ascii="宋体" w:hAnsi="宋体" w:cs="宋体"/>
          <w:color w:val="auto"/>
          <w:sz w:val="21"/>
          <w:szCs w:val="21"/>
          <w:highlight w:val="none"/>
        </w:rPr>
        <w:t>招标文件（项目编号：FH2022CG0113），</w:t>
      </w:r>
      <w:r>
        <w:rPr>
          <w:rFonts w:hint="eastAsia" w:ascii="宋体" w:hAnsi="宋体" w:cs="宋体"/>
          <w:color w:val="auto"/>
          <w:kern w:val="28"/>
          <w:sz w:val="21"/>
          <w:szCs w:val="21"/>
          <w:highlight w:val="none"/>
          <w:u w:val="single"/>
        </w:rPr>
        <w:t xml:space="preserve">     </w:t>
      </w:r>
      <w:r>
        <w:rPr>
          <w:rFonts w:hint="eastAsia" w:ascii="宋体" w:hAnsi="宋体" w:cs="宋体"/>
          <w:color w:val="auto"/>
          <w:sz w:val="21"/>
          <w:szCs w:val="21"/>
          <w:highlight w:val="none"/>
          <w:u w:val="single"/>
        </w:rPr>
        <w:t xml:space="preserve"> (投标人名称、地址)</w:t>
      </w:r>
      <w:r>
        <w:rPr>
          <w:rFonts w:hint="eastAsia" w:ascii="宋体" w:hAnsi="宋体" w:cs="宋体"/>
          <w:color w:val="auto"/>
          <w:kern w:val="28"/>
          <w:sz w:val="21"/>
          <w:szCs w:val="21"/>
          <w:highlight w:val="none"/>
          <w:u w:val="single"/>
        </w:rPr>
        <w:t xml:space="preserve">     </w:t>
      </w:r>
      <w:r>
        <w:rPr>
          <w:rFonts w:hint="eastAsia" w:ascii="宋体" w:hAnsi="宋体" w:cs="宋体"/>
          <w:color w:val="auto"/>
          <w:sz w:val="21"/>
          <w:szCs w:val="21"/>
          <w:highlight w:val="none"/>
        </w:rPr>
        <w:t>作为投标人已正式授权</w:t>
      </w:r>
      <w:r>
        <w:rPr>
          <w:rFonts w:hint="eastAsia" w:ascii="宋体" w:hAnsi="宋体" w:cs="宋体"/>
          <w:color w:val="auto"/>
          <w:kern w:val="28"/>
          <w:sz w:val="21"/>
          <w:szCs w:val="21"/>
          <w:highlight w:val="none"/>
          <w:u w:val="single"/>
        </w:rPr>
        <w:t xml:space="preserve">     </w:t>
      </w:r>
      <w:r>
        <w:rPr>
          <w:rFonts w:hint="eastAsia" w:ascii="宋体" w:hAnsi="宋体" w:cs="宋体"/>
          <w:color w:val="auto"/>
          <w:sz w:val="21"/>
          <w:szCs w:val="21"/>
          <w:highlight w:val="none"/>
          <w:u w:val="single"/>
        </w:rPr>
        <w:t xml:space="preserve"> (被投标人授权代表全名、职务)</w:t>
      </w:r>
      <w:r>
        <w:rPr>
          <w:rFonts w:hint="eastAsia" w:ascii="宋体" w:hAnsi="宋体" w:cs="宋体"/>
          <w:color w:val="auto"/>
          <w:kern w:val="28"/>
          <w:sz w:val="21"/>
          <w:szCs w:val="21"/>
          <w:highlight w:val="none"/>
          <w:u w:val="single"/>
        </w:rPr>
        <w:t xml:space="preserve">     </w:t>
      </w:r>
      <w:r>
        <w:rPr>
          <w:rFonts w:hint="eastAsia" w:ascii="宋体" w:hAnsi="宋体" w:cs="宋体"/>
          <w:color w:val="auto"/>
          <w:sz w:val="21"/>
          <w:szCs w:val="21"/>
          <w:highlight w:val="none"/>
        </w:rPr>
        <w:t>为我方签名代表，签名代表在此声明并同意：</w:t>
      </w:r>
    </w:p>
    <w:p>
      <w:pPr>
        <w:numPr>
          <w:ilvl w:val="0"/>
          <w:numId w:val="43"/>
        </w:numPr>
        <w:tabs>
          <w:tab w:val="left" w:pos="0"/>
        </w:tabs>
        <w:autoSpaceDE/>
        <w:autoSpaceDN/>
        <w:adjustRightInd/>
        <w:snapToGrid w:val="0"/>
        <w:spacing w:line="360" w:lineRule="auto"/>
        <w:ind w:left="5" w:firstLine="395"/>
        <w:jc w:val="both"/>
        <w:rPr>
          <w:rFonts w:ascii="宋体" w:hAnsi="宋体" w:cs="宋体"/>
          <w:bCs/>
          <w:color w:val="auto"/>
          <w:sz w:val="21"/>
          <w:szCs w:val="21"/>
          <w:highlight w:val="none"/>
        </w:rPr>
      </w:pPr>
      <w:r>
        <w:rPr>
          <w:rFonts w:hint="eastAsia" w:ascii="宋体" w:hAnsi="宋体" w:cs="宋体"/>
          <w:bCs/>
          <w:color w:val="auto"/>
          <w:sz w:val="21"/>
          <w:szCs w:val="21"/>
          <w:highlight w:val="none"/>
        </w:rPr>
        <w:t>我们愿意遵守招标代理机构招标文件的各项规定，自愿参加投标, 并已清楚招标文件的要求及有关文件规定，并严格按照招标文件的规定履行全部责任和义务。</w:t>
      </w:r>
    </w:p>
    <w:p>
      <w:pPr>
        <w:numPr>
          <w:ilvl w:val="0"/>
          <w:numId w:val="43"/>
        </w:numPr>
        <w:tabs>
          <w:tab w:val="left" w:pos="0"/>
        </w:tabs>
        <w:autoSpaceDE/>
        <w:autoSpaceDN/>
        <w:adjustRightInd/>
        <w:snapToGrid w:val="0"/>
        <w:spacing w:line="360" w:lineRule="auto"/>
        <w:ind w:left="5" w:firstLine="395"/>
        <w:jc w:val="both"/>
        <w:rPr>
          <w:rFonts w:ascii="宋体" w:hAnsi="宋体" w:cs="宋体"/>
          <w:bCs/>
          <w:color w:val="auto"/>
          <w:sz w:val="21"/>
          <w:szCs w:val="21"/>
          <w:highlight w:val="none"/>
        </w:rPr>
      </w:pPr>
      <w:r>
        <w:rPr>
          <w:rFonts w:hint="eastAsia" w:ascii="宋体" w:hAnsi="宋体" w:cs="宋体"/>
          <w:bCs/>
          <w:color w:val="auto"/>
          <w:sz w:val="21"/>
          <w:szCs w:val="21"/>
          <w:highlight w:val="none"/>
        </w:rPr>
        <w:t>我们同意本投标自投标截止之日起</w:t>
      </w:r>
      <w:r>
        <w:rPr>
          <w:rFonts w:hint="eastAsia" w:ascii="宋体" w:hAnsi="宋体" w:cs="宋体"/>
          <w:bCs/>
          <w:color w:val="auto"/>
          <w:sz w:val="21"/>
          <w:szCs w:val="21"/>
          <w:highlight w:val="none"/>
          <w:u w:val="single"/>
        </w:rPr>
        <w:t>90</w:t>
      </w:r>
      <w:r>
        <w:rPr>
          <w:rFonts w:hint="eastAsia" w:ascii="宋体" w:hAnsi="宋体" w:cs="宋体"/>
          <w:bCs/>
          <w:color w:val="auto"/>
          <w:sz w:val="21"/>
          <w:szCs w:val="21"/>
          <w:highlight w:val="none"/>
        </w:rPr>
        <w:t>天内有效。如果我们的投标被接受，则直至合同生效时止，本投标始终有效。</w:t>
      </w:r>
    </w:p>
    <w:p>
      <w:pPr>
        <w:numPr>
          <w:ilvl w:val="0"/>
          <w:numId w:val="43"/>
        </w:numPr>
        <w:tabs>
          <w:tab w:val="left" w:pos="0"/>
        </w:tabs>
        <w:autoSpaceDE/>
        <w:autoSpaceDN/>
        <w:adjustRightInd/>
        <w:snapToGrid w:val="0"/>
        <w:spacing w:line="360" w:lineRule="auto"/>
        <w:ind w:left="5" w:firstLine="395"/>
        <w:jc w:val="both"/>
        <w:rPr>
          <w:rFonts w:ascii="宋体" w:hAnsi="宋体" w:cs="宋体"/>
          <w:bCs/>
          <w:color w:val="auto"/>
          <w:sz w:val="21"/>
          <w:szCs w:val="21"/>
          <w:highlight w:val="none"/>
        </w:rPr>
      </w:pPr>
      <w:r>
        <w:rPr>
          <w:rFonts w:hint="eastAsia" w:ascii="宋体" w:hAnsi="宋体" w:cs="宋体"/>
          <w:bCs/>
          <w:color w:val="auto"/>
          <w:sz w:val="21"/>
          <w:szCs w:val="21"/>
          <w:highlight w:val="none"/>
        </w:rPr>
        <w:t>我们已经详细地阅读并完全明白了全部招标文件及附件，包括澄清（如有）及参考文件，我们完全理解本招标文件的要求，我们同意放弃对招标文件提出不明或误解的一切权力。</w:t>
      </w:r>
    </w:p>
    <w:p>
      <w:pPr>
        <w:numPr>
          <w:ilvl w:val="0"/>
          <w:numId w:val="43"/>
        </w:numPr>
        <w:tabs>
          <w:tab w:val="left" w:pos="0"/>
        </w:tabs>
        <w:autoSpaceDE/>
        <w:autoSpaceDN/>
        <w:adjustRightInd/>
        <w:snapToGrid w:val="0"/>
        <w:spacing w:line="360" w:lineRule="auto"/>
        <w:ind w:left="5" w:firstLine="395"/>
        <w:jc w:val="both"/>
        <w:rPr>
          <w:rFonts w:ascii="宋体" w:hAnsi="宋体" w:cs="宋体"/>
          <w:bCs/>
          <w:color w:val="auto"/>
          <w:sz w:val="21"/>
          <w:szCs w:val="21"/>
          <w:highlight w:val="none"/>
        </w:rPr>
      </w:pPr>
      <w:r>
        <w:rPr>
          <w:rFonts w:hint="eastAsia" w:ascii="宋体" w:hAnsi="宋体" w:cs="宋体"/>
          <w:bCs/>
          <w:color w:val="auto"/>
          <w:sz w:val="21"/>
          <w:szCs w:val="21"/>
          <w:highlight w:val="none"/>
        </w:rPr>
        <w:t>我们同意提供招标人与评标委员会要求的有关投标的一切数据或资料。</w:t>
      </w:r>
    </w:p>
    <w:p>
      <w:pPr>
        <w:numPr>
          <w:ilvl w:val="0"/>
          <w:numId w:val="43"/>
        </w:numPr>
        <w:tabs>
          <w:tab w:val="left" w:pos="0"/>
        </w:tabs>
        <w:autoSpaceDE/>
        <w:autoSpaceDN/>
        <w:adjustRightInd/>
        <w:snapToGrid w:val="0"/>
        <w:spacing w:line="360" w:lineRule="auto"/>
        <w:ind w:left="5" w:firstLine="395"/>
        <w:jc w:val="both"/>
        <w:rPr>
          <w:rFonts w:ascii="宋体" w:hAnsi="宋体" w:cs="宋体"/>
          <w:bCs/>
          <w:color w:val="auto"/>
          <w:sz w:val="21"/>
          <w:szCs w:val="21"/>
          <w:highlight w:val="none"/>
        </w:rPr>
      </w:pPr>
      <w:r>
        <w:rPr>
          <w:rFonts w:hint="eastAsia" w:ascii="宋体" w:hAnsi="宋体" w:cs="宋体"/>
          <w:bCs/>
          <w:color w:val="auto"/>
          <w:sz w:val="21"/>
          <w:szCs w:val="21"/>
          <w:highlight w:val="none"/>
        </w:rPr>
        <w:t>我们理解招标人与评标委员会并无义务必须接受最低报价的投标或其它任何投标，完全理解招标代理机构拒绝迟到的任何投标和最低投标报价不是被授予中标的唯一条件。</w:t>
      </w:r>
    </w:p>
    <w:p>
      <w:pPr>
        <w:numPr>
          <w:ilvl w:val="0"/>
          <w:numId w:val="43"/>
        </w:numPr>
        <w:tabs>
          <w:tab w:val="left" w:pos="0"/>
        </w:tabs>
        <w:autoSpaceDE/>
        <w:autoSpaceDN/>
        <w:adjustRightInd/>
        <w:snapToGrid w:val="0"/>
        <w:spacing w:line="360" w:lineRule="auto"/>
        <w:ind w:left="5" w:firstLine="395"/>
        <w:jc w:val="both"/>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如果我们未对招标文件全部要求作出实质性响应，则完全同意并接受按投标无效处理。 </w:t>
      </w:r>
    </w:p>
    <w:p>
      <w:pPr>
        <w:numPr>
          <w:ilvl w:val="0"/>
          <w:numId w:val="43"/>
        </w:numPr>
        <w:tabs>
          <w:tab w:val="left" w:pos="0"/>
        </w:tabs>
        <w:autoSpaceDE/>
        <w:autoSpaceDN/>
        <w:adjustRightInd/>
        <w:snapToGrid w:val="0"/>
        <w:spacing w:line="360" w:lineRule="auto"/>
        <w:ind w:left="5" w:firstLine="395"/>
        <w:jc w:val="both"/>
        <w:rPr>
          <w:rFonts w:ascii="宋体" w:hAnsi="宋体" w:cs="宋体"/>
          <w:bCs/>
          <w:color w:val="auto"/>
          <w:sz w:val="21"/>
          <w:szCs w:val="21"/>
          <w:highlight w:val="none"/>
        </w:rPr>
      </w:pPr>
      <w:r>
        <w:rPr>
          <w:rFonts w:hint="eastAsia" w:ascii="宋体" w:hAnsi="宋体" w:cs="宋体"/>
          <w:bCs/>
          <w:color w:val="auto"/>
          <w:sz w:val="21"/>
          <w:szCs w:val="21"/>
          <w:highlight w:val="none"/>
        </w:rPr>
        <w:t>我们证明提交的一切文件，无论是原件还是复印件均为准确、真实、有效、完整的，绝无任何虚假、伪造或者夸大。我们在此郑重承诺：在本次招标招标活动中，如有违法、违规、弄虚作假行为，所造成的损失、不良后果及法律责任，一律由我公司（企业）承担。</w:t>
      </w:r>
    </w:p>
    <w:p>
      <w:pPr>
        <w:numPr>
          <w:ilvl w:val="0"/>
          <w:numId w:val="43"/>
        </w:numPr>
        <w:tabs>
          <w:tab w:val="left" w:pos="0"/>
        </w:tabs>
        <w:autoSpaceDE/>
        <w:autoSpaceDN/>
        <w:adjustRightInd/>
        <w:snapToGrid w:val="0"/>
        <w:spacing w:line="360" w:lineRule="auto"/>
        <w:ind w:left="5" w:firstLine="395"/>
        <w:jc w:val="both"/>
        <w:rPr>
          <w:rFonts w:ascii="宋体" w:hAnsi="宋体" w:cs="宋体"/>
          <w:bCs/>
          <w:color w:val="auto"/>
          <w:sz w:val="21"/>
          <w:szCs w:val="21"/>
          <w:highlight w:val="none"/>
        </w:rPr>
      </w:pPr>
      <w:r>
        <w:rPr>
          <w:rFonts w:hint="eastAsia" w:ascii="宋体" w:hAnsi="宋体" w:cs="宋体"/>
          <w:bCs/>
          <w:color w:val="auto"/>
          <w:sz w:val="21"/>
          <w:szCs w:val="21"/>
          <w:highlight w:val="none"/>
        </w:rPr>
        <w:t>如果我们提供的声明或承诺不真实，则完全同意认定为我司提供虚假材料，并同意作相应处理。</w:t>
      </w:r>
    </w:p>
    <w:p>
      <w:pPr>
        <w:numPr>
          <w:ilvl w:val="0"/>
          <w:numId w:val="43"/>
        </w:numPr>
        <w:tabs>
          <w:tab w:val="left" w:pos="0"/>
        </w:tabs>
        <w:autoSpaceDE/>
        <w:autoSpaceDN/>
        <w:adjustRightInd/>
        <w:snapToGrid w:val="0"/>
        <w:spacing w:line="360" w:lineRule="auto"/>
        <w:ind w:left="5" w:firstLine="395"/>
        <w:jc w:val="both"/>
        <w:rPr>
          <w:rFonts w:ascii="宋体" w:hAnsi="宋体" w:cs="宋体"/>
          <w:bCs/>
          <w:color w:val="auto"/>
          <w:sz w:val="21"/>
          <w:szCs w:val="21"/>
          <w:highlight w:val="none"/>
        </w:rPr>
      </w:pPr>
      <w:r>
        <w:rPr>
          <w:rFonts w:hint="eastAsia" w:ascii="宋体" w:hAnsi="宋体" w:cs="宋体"/>
          <w:bCs/>
          <w:color w:val="auto"/>
          <w:sz w:val="21"/>
          <w:szCs w:val="21"/>
          <w:highlight w:val="none"/>
        </w:rPr>
        <w:t>我们是依法注册的法人，在法律、财务及运作上完全独立于招标人和招标代理机构。</w:t>
      </w:r>
    </w:p>
    <w:p>
      <w:pPr>
        <w:numPr>
          <w:ilvl w:val="0"/>
          <w:numId w:val="43"/>
        </w:numPr>
        <w:tabs>
          <w:tab w:val="left" w:pos="0"/>
        </w:tabs>
        <w:autoSpaceDE/>
        <w:autoSpaceDN/>
        <w:adjustRightInd/>
        <w:snapToGrid w:val="0"/>
        <w:spacing w:line="360" w:lineRule="auto"/>
        <w:ind w:left="5" w:firstLine="395"/>
        <w:jc w:val="both"/>
        <w:rPr>
          <w:rFonts w:ascii="宋体" w:hAnsi="宋体" w:cs="宋体"/>
          <w:bCs/>
          <w:color w:val="auto"/>
          <w:sz w:val="21"/>
          <w:szCs w:val="21"/>
          <w:highlight w:val="none"/>
        </w:rPr>
      </w:pPr>
      <w:r>
        <w:rPr>
          <w:rFonts w:hint="eastAsia" w:ascii="宋体" w:hAnsi="宋体" w:cs="宋体"/>
          <w:bCs/>
          <w:color w:val="auto"/>
          <w:sz w:val="21"/>
          <w:szCs w:val="21"/>
          <w:highlight w:val="none"/>
        </w:rPr>
        <w:t>所有有关本次投标的函电请寄：</w:t>
      </w:r>
      <w:r>
        <w:rPr>
          <w:rFonts w:hint="eastAsia" w:ascii="宋体" w:hAnsi="宋体" w:cs="宋体"/>
          <w:bCs/>
          <w:color w:val="auto"/>
          <w:sz w:val="21"/>
          <w:szCs w:val="21"/>
          <w:highlight w:val="none"/>
          <w:u w:val="single"/>
        </w:rPr>
        <w:t xml:space="preserve">  （投标人地址）   </w:t>
      </w:r>
      <w:r>
        <w:rPr>
          <w:rFonts w:hint="eastAsia" w:ascii="宋体" w:hAnsi="宋体" w:cs="宋体"/>
          <w:bCs/>
          <w:color w:val="auto"/>
          <w:sz w:val="21"/>
          <w:szCs w:val="21"/>
          <w:highlight w:val="none"/>
        </w:rPr>
        <w:t xml:space="preserve"> 。 </w:t>
      </w:r>
    </w:p>
    <w:p>
      <w:pPr>
        <w:tabs>
          <w:tab w:val="left" w:pos="284"/>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备注：</w:t>
      </w:r>
    </w:p>
    <w:p>
      <w:pPr>
        <w:tabs>
          <w:tab w:val="left" w:pos="284"/>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1）投标函中承诺的投标有效期应当不少于招标文件中载明的投标有效期，否则视为无效投标。</w:t>
      </w:r>
    </w:p>
    <w:p>
      <w:pPr>
        <w:tabs>
          <w:tab w:val="left" w:pos="284"/>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2）除投标有效期承诺的时间外，本投标函内容不得擅自删改，否则视为无效投标。 </w:t>
      </w:r>
    </w:p>
    <w:p>
      <w:pPr>
        <w:spacing w:line="360" w:lineRule="auto"/>
        <w:ind w:left="40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投标人名称（单位盖公章）： </w:t>
      </w:r>
    </w:p>
    <w:p>
      <w:pPr>
        <w:spacing w:line="360" w:lineRule="auto"/>
        <w:ind w:left="400" w:leftChars="200"/>
        <w:rPr>
          <w:rFonts w:ascii="宋体" w:hAnsi="宋体" w:cs="宋体"/>
          <w:color w:val="auto"/>
          <w:sz w:val="21"/>
          <w:szCs w:val="21"/>
          <w:highlight w:val="none"/>
        </w:rPr>
      </w:pPr>
      <w:r>
        <w:rPr>
          <w:rFonts w:hint="eastAsia" w:ascii="宋体" w:hAnsi="宋体" w:cs="宋体"/>
          <w:color w:val="auto"/>
          <w:sz w:val="21"/>
          <w:szCs w:val="21"/>
          <w:highlight w:val="none"/>
        </w:rPr>
        <w:t>法定代表人或投标人授权代表（签名或盖私章）：</w:t>
      </w:r>
      <w:r>
        <w:rPr>
          <w:rFonts w:hint="eastAsia" w:ascii="宋体" w:hAnsi="宋体" w:cs="宋体"/>
          <w:color w:val="auto"/>
          <w:sz w:val="21"/>
          <w:szCs w:val="21"/>
          <w:highlight w:val="none"/>
        </w:rPr>
        <w:tab/>
      </w:r>
    </w:p>
    <w:p>
      <w:pPr>
        <w:spacing w:line="360" w:lineRule="auto"/>
        <w:ind w:left="400" w:leftChars="200"/>
        <w:rPr>
          <w:rFonts w:ascii="宋体" w:hAnsi="宋体" w:cs="宋体"/>
          <w:color w:val="auto"/>
          <w:sz w:val="21"/>
          <w:szCs w:val="21"/>
          <w:highlight w:val="none"/>
        </w:rPr>
      </w:pPr>
      <w:r>
        <w:rPr>
          <w:rFonts w:hint="eastAsia" w:ascii="宋体" w:hAnsi="宋体" w:cs="宋体"/>
          <w:color w:val="auto"/>
          <w:sz w:val="21"/>
          <w:szCs w:val="21"/>
          <w:highlight w:val="none"/>
        </w:rPr>
        <w:t>日期：</w:t>
      </w:r>
    </w:p>
    <w:p>
      <w:pPr>
        <w:spacing w:line="360" w:lineRule="auto"/>
        <w:ind w:left="400" w:leftChars="200"/>
        <w:rPr>
          <w:rFonts w:ascii="宋体" w:hAnsi="宋体" w:cs="宋体"/>
          <w:color w:val="auto"/>
          <w:sz w:val="21"/>
          <w:szCs w:val="21"/>
          <w:highlight w:val="none"/>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rPr>
        <w:tab/>
      </w:r>
    </w:p>
    <w:p>
      <w:pPr>
        <w:spacing w:line="360" w:lineRule="auto"/>
        <w:ind w:left="400" w:leftChars="200"/>
        <w:rPr>
          <w:rFonts w:ascii="宋体" w:hAnsi="宋体" w:cs="宋体"/>
          <w:color w:val="auto"/>
          <w:sz w:val="21"/>
          <w:szCs w:val="21"/>
          <w:highlight w:val="none"/>
        </w:rPr>
      </w:pPr>
      <w:r>
        <w:rPr>
          <w:rFonts w:hint="eastAsia" w:ascii="宋体" w:hAnsi="宋体" w:cs="宋体"/>
          <w:color w:val="auto"/>
          <w:sz w:val="21"/>
          <w:szCs w:val="21"/>
          <w:highlight w:val="none"/>
        </w:rPr>
        <w:t>传真：</w:t>
      </w:r>
      <w:r>
        <w:rPr>
          <w:rFonts w:hint="eastAsia" w:ascii="宋体" w:hAnsi="宋体" w:cs="宋体"/>
          <w:color w:val="auto"/>
          <w:sz w:val="21"/>
          <w:szCs w:val="21"/>
          <w:highlight w:val="none"/>
        </w:rPr>
        <w:tab/>
      </w:r>
    </w:p>
    <w:p>
      <w:pPr>
        <w:spacing w:line="360" w:lineRule="auto"/>
        <w:ind w:left="400" w:leftChars="200"/>
        <w:rPr>
          <w:rFonts w:ascii="宋体" w:hAnsi="宋体" w:cs="宋体"/>
          <w:color w:val="auto"/>
          <w:sz w:val="21"/>
          <w:szCs w:val="21"/>
          <w:highlight w:val="none"/>
        </w:rPr>
      </w:pPr>
      <w:r>
        <w:rPr>
          <w:rFonts w:hint="eastAsia" w:ascii="宋体" w:hAnsi="宋体" w:cs="宋体"/>
          <w:color w:val="auto"/>
          <w:sz w:val="21"/>
          <w:szCs w:val="21"/>
          <w:highlight w:val="none"/>
        </w:rPr>
        <w:t>邮编：</w:t>
      </w:r>
    </w:p>
    <w:p>
      <w:pPr>
        <w:spacing w:line="360" w:lineRule="auto"/>
        <w:ind w:left="400" w:leftChars="200"/>
        <w:rPr>
          <w:rFonts w:ascii="宋体" w:hAnsi="宋体" w:cs="宋体"/>
          <w:color w:val="auto"/>
          <w:sz w:val="21"/>
          <w:szCs w:val="21"/>
          <w:highlight w:val="none"/>
        </w:rPr>
      </w:pPr>
      <w:r>
        <w:rPr>
          <w:rFonts w:hint="eastAsia" w:ascii="宋体" w:hAnsi="宋体" w:cs="宋体"/>
          <w:color w:val="auto"/>
          <w:sz w:val="21"/>
          <w:szCs w:val="21"/>
          <w:highlight w:val="none"/>
        </w:rPr>
        <w:t>电子邮箱：</w:t>
      </w:r>
    </w:p>
    <w:p>
      <w:pPr>
        <w:rPr>
          <w:rFonts w:ascii="宋体" w:hAnsi="宋体" w:cs="宋体"/>
          <w:color w:val="auto"/>
          <w:highlight w:val="none"/>
        </w:rPr>
      </w:pPr>
    </w:p>
    <w:p>
      <w:pPr>
        <w:pStyle w:val="2"/>
        <w:adjustRightInd w:val="0"/>
        <w:snapToGrid w:val="0"/>
        <w:spacing w:before="156" w:beforeLines="50" w:after="156" w:afterLines="50" w:line="360" w:lineRule="auto"/>
        <w:jc w:val="center"/>
        <w:rPr>
          <w:rFonts w:ascii="宋体" w:hAnsi="宋体" w:eastAsia="宋体" w:cs="宋体"/>
          <w:b w:val="0"/>
          <w:color w:val="auto"/>
          <w:kern w:val="0"/>
          <w:highlight w:val="none"/>
        </w:rPr>
      </w:pPr>
      <w:r>
        <w:rPr>
          <w:rFonts w:hint="eastAsia" w:ascii="宋体" w:hAnsi="宋体" w:eastAsia="宋体" w:cs="宋体"/>
          <w:b w:val="0"/>
          <w:color w:val="auto"/>
          <w:kern w:val="0"/>
          <w:highlight w:val="none"/>
        </w:rPr>
        <w:t>（三） 投标人资格声明函</w:t>
      </w:r>
    </w:p>
    <w:p>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方禾（广东）项目管理有限公司：</w:t>
      </w:r>
    </w:p>
    <w:p>
      <w:pPr>
        <w:snapToGrid w:val="0"/>
        <w:spacing w:before="156" w:beforeLines="50" w:line="360" w:lineRule="auto"/>
        <w:ind w:firstLine="525" w:firstLineChars="250"/>
        <w:rPr>
          <w:rFonts w:ascii="宋体" w:hAnsi="宋体" w:cs="宋体"/>
          <w:color w:val="auto"/>
          <w:sz w:val="21"/>
          <w:szCs w:val="21"/>
          <w:highlight w:val="none"/>
        </w:rPr>
      </w:pPr>
      <w:r>
        <w:rPr>
          <w:rFonts w:hint="eastAsia" w:ascii="宋体" w:hAnsi="宋体" w:cs="宋体"/>
          <w:color w:val="auto"/>
          <w:sz w:val="21"/>
          <w:szCs w:val="21"/>
          <w:highlight w:val="none"/>
        </w:rPr>
        <w:t>关于贵公司</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日发布</w:t>
      </w:r>
      <w:r>
        <w:rPr>
          <w:rFonts w:hint="eastAsia" w:ascii="宋体" w:hAnsi="宋体" w:cs="宋体"/>
          <w:color w:val="auto"/>
          <w:sz w:val="21"/>
          <w:szCs w:val="21"/>
          <w:highlight w:val="none"/>
          <w:u w:val="single"/>
        </w:rPr>
        <w:t>中山市火炬科学技术学校小卖部承包经营项目</w:t>
      </w:r>
      <w:r>
        <w:rPr>
          <w:rFonts w:hint="eastAsia" w:ascii="宋体" w:hAnsi="宋体" w:cs="宋体"/>
          <w:color w:val="auto"/>
          <w:sz w:val="21"/>
          <w:szCs w:val="21"/>
          <w:highlight w:val="none"/>
        </w:rPr>
        <w:t>（项目编号：FH2022CG0113）的招标公告，本公司（企业）愿意参加投标，并声明：</w:t>
      </w:r>
    </w:p>
    <w:p>
      <w:pPr>
        <w:snapToGrid w:val="0"/>
        <w:spacing w:line="360" w:lineRule="auto"/>
        <w:ind w:firstLine="422" w:firstLineChars="201"/>
        <w:rPr>
          <w:rFonts w:ascii="宋体" w:hAnsi="宋体" w:cs="宋体"/>
          <w:color w:val="auto"/>
          <w:sz w:val="21"/>
          <w:szCs w:val="21"/>
          <w:highlight w:val="none"/>
        </w:rPr>
      </w:pPr>
      <w:r>
        <w:rPr>
          <w:rFonts w:hint="eastAsia" w:ascii="宋体" w:hAnsi="宋体" w:cs="宋体"/>
          <w:color w:val="auto"/>
          <w:sz w:val="21"/>
          <w:szCs w:val="21"/>
          <w:highlight w:val="none"/>
        </w:rPr>
        <w:t>一、本公司（企业）具备</w:t>
      </w:r>
      <w:r>
        <w:rPr>
          <w:rFonts w:hint="eastAsia" w:ascii="宋体" w:hAnsi="宋体" w:cs="宋体"/>
          <w:bCs/>
          <w:color w:val="auto"/>
          <w:sz w:val="21"/>
          <w:szCs w:val="21"/>
          <w:highlight w:val="none"/>
        </w:rPr>
        <w:t>招标文件第一章投标邀请中的“</w:t>
      </w:r>
      <w:r>
        <w:rPr>
          <w:rFonts w:hint="eastAsia" w:ascii="宋体" w:hAnsi="宋体" w:cs="宋体"/>
          <w:b/>
          <w:bCs/>
          <w:color w:val="auto"/>
          <w:sz w:val="21"/>
          <w:szCs w:val="21"/>
          <w:highlight w:val="none"/>
        </w:rPr>
        <w:t>投标人的资格要求</w:t>
      </w:r>
      <w:r>
        <w:rPr>
          <w:rFonts w:hint="eastAsia" w:ascii="宋体" w:hAnsi="宋体" w:cs="宋体"/>
          <w:bCs/>
          <w:color w:val="auto"/>
          <w:sz w:val="21"/>
          <w:szCs w:val="21"/>
          <w:highlight w:val="none"/>
        </w:rPr>
        <w:t>”，</w:t>
      </w:r>
      <w:r>
        <w:rPr>
          <w:rFonts w:hint="eastAsia" w:ascii="宋体" w:hAnsi="宋体" w:cs="宋体"/>
          <w:color w:val="auto"/>
          <w:sz w:val="21"/>
          <w:szCs w:val="21"/>
          <w:highlight w:val="none"/>
        </w:rPr>
        <w:t>并已清楚招标文件的要求及有关文件规定，我方承诺单位负责人为同一人或者存在控股、管理关系的不同单位，不参加同一招标项目（包组）投标。</w:t>
      </w:r>
    </w:p>
    <w:p>
      <w:pPr>
        <w:snapToGrid w:val="0"/>
        <w:spacing w:line="360" w:lineRule="auto"/>
        <w:ind w:firstLine="422" w:firstLineChars="201"/>
        <w:rPr>
          <w:rFonts w:ascii="宋体" w:hAnsi="宋体" w:cs="宋体"/>
          <w:color w:val="auto"/>
          <w:sz w:val="21"/>
          <w:szCs w:val="21"/>
          <w:highlight w:val="none"/>
        </w:rPr>
      </w:pPr>
      <w:r>
        <w:rPr>
          <w:rFonts w:hint="eastAsia" w:ascii="宋体" w:hAnsi="宋体" w:cs="宋体"/>
          <w:color w:val="auto"/>
          <w:sz w:val="21"/>
          <w:szCs w:val="21"/>
          <w:highlight w:val="none"/>
        </w:rPr>
        <w:t>二、我方承诺在本次招标活动中，如有违法、违规、弄虚作假行为，所造成的损失、不良后果及法律责任，一律由我公司（企业）承担。</w:t>
      </w:r>
    </w:p>
    <w:p>
      <w:pPr>
        <w:snapToGrid w:val="0"/>
        <w:spacing w:line="360" w:lineRule="auto"/>
        <w:ind w:firstLine="422" w:firstLineChars="201"/>
        <w:rPr>
          <w:rFonts w:ascii="宋体" w:hAnsi="宋体" w:cs="宋体"/>
          <w:color w:val="auto"/>
          <w:sz w:val="21"/>
          <w:szCs w:val="21"/>
          <w:highlight w:val="none"/>
        </w:rPr>
      </w:pPr>
      <w:r>
        <w:rPr>
          <w:rFonts w:hint="eastAsia" w:ascii="宋体" w:hAnsi="宋体" w:cs="宋体"/>
          <w:color w:val="auto"/>
          <w:sz w:val="21"/>
          <w:szCs w:val="21"/>
          <w:highlight w:val="none"/>
        </w:rPr>
        <w:t>三、我方承诺在</w:t>
      </w:r>
      <w:r>
        <w:rPr>
          <w:rFonts w:hint="eastAsia" w:ascii="宋体" w:hAnsi="宋体" w:cs="宋体"/>
          <w:bCs/>
          <w:color w:val="auto"/>
          <w:sz w:val="21"/>
          <w:szCs w:val="21"/>
          <w:highlight w:val="none"/>
        </w:rPr>
        <w:t>参加招标投标活动前三年内，在经营活动中没有重大违法记录。</w:t>
      </w:r>
    </w:p>
    <w:p>
      <w:pPr>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特此声明！</w:t>
      </w:r>
    </w:p>
    <w:p>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备注：1.本声明函必须提供且内容不得擅自删改，否则视为无效投标。</w:t>
      </w:r>
    </w:p>
    <w:p>
      <w:pPr>
        <w:pStyle w:val="45"/>
        <w:spacing w:line="360" w:lineRule="auto"/>
        <w:ind w:left="360" w:leftChars="180" w:firstLine="310" w:firstLineChars="147"/>
        <w:rPr>
          <w:rFonts w:ascii="宋体" w:hAnsi="宋体" w:cs="宋体"/>
          <w:color w:val="auto"/>
          <w:sz w:val="21"/>
          <w:szCs w:val="21"/>
          <w:highlight w:val="none"/>
        </w:rPr>
      </w:pPr>
      <w:r>
        <w:rPr>
          <w:rFonts w:hint="eastAsia" w:ascii="宋体" w:hAnsi="宋体" w:cs="宋体"/>
          <w:b/>
          <w:color w:val="auto"/>
          <w:sz w:val="21"/>
          <w:szCs w:val="21"/>
          <w:highlight w:val="none"/>
        </w:rPr>
        <w:t>2.本声明函如有虚假或与事实不符的，作无效投标处理。</w:t>
      </w:r>
    </w:p>
    <w:p>
      <w:pPr>
        <w:pStyle w:val="45"/>
        <w:spacing w:line="360" w:lineRule="auto"/>
        <w:ind w:left="360" w:leftChars="180" w:firstLine="310" w:firstLineChars="147"/>
        <w:rPr>
          <w:rFonts w:ascii="宋体" w:hAnsi="宋体" w:cs="宋体"/>
          <w:b/>
          <w:color w:val="auto"/>
          <w:sz w:val="21"/>
          <w:szCs w:val="21"/>
          <w:highlight w:val="none"/>
          <w:u w:val="double"/>
        </w:rPr>
      </w:pPr>
      <w:r>
        <w:rPr>
          <w:rFonts w:hint="eastAsia" w:ascii="宋体" w:hAnsi="宋体" w:cs="宋体"/>
          <w:b/>
          <w:color w:val="auto"/>
          <w:sz w:val="21"/>
          <w:szCs w:val="21"/>
          <w:highlight w:val="none"/>
          <w:u w:val="double"/>
        </w:rPr>
        <w:t>3.根据第一章投标邀请的投标人合格资格要求在本函后附提供相关证明材料。</w:t>
      </w:r>
    </w:p>
    <w:p>
      <w:pPr>
        <w:pStyle w:val="45"/>
        <w:spacing w:line="360" w:lineRule="auto"/>
        <w:ind w:firstLine="0" w:firstLineChars="0"/>
        <w:rPr>
          <w:rFonts w:ascii="宋体" w:hAnsi="宋体" w:cs="宋体"/>
          <w:b/>
          <w:color w:val="auto"/>
          <w:sz w:val="21"/>
          <w:szCs w:val="21"/>
          <w:highlight w:val="none"/>
        </w:rPr>
      </w:pPr>
    </w:p>
    <w:p>
      <w:pPr>
        <w:pStyle w:val="45"/>
        <w:spacing w:line="360"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投标人名称（单位盖公章）：                             </w:t>
      </w:r>
    </w:p>
    <w:p>
      <w:pPr>
        <w:pStyle w:val="45"/>
        <w:spacing w:line="360"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单位地址：                                          日期：</w:t>
      </w:r>
    </w:p>
    <w:p>
      <w:pPr>
        <w:pStyle w:val="8"/>
        <w:rPr>
          <w:rFonts w:hAnsi="宋体" w:cs="宋体"/>
          <w:color w:val="auto"/>
          <w:highlight w:val="none"/>
        </w:rPr>
      </w:pPr>
    </w:p>
    <w:p>
      <w:pPr>
        <w:pStyle w:val="8"/>
        <w:rPr>
          <w:rFonts w:hAnsi="宋体" w:cs="宋体"/>
          <w:color w:val="auto"/>
          <w:highlight w:val="none"/>
        </w:rPr>
      </w:pPr>
    </w:p>
    <w:p>
      <w:pPr>
        <w:pStyle w:val="8"/>
        <w:rPr>
          <w:rFonts w:hAnsi="宋体" w:cs="宋体"/>
          <w:color w:val="auto"/>
          <w:highlight w:val="none"/>
        </w:rPr>
      </w:pPr>
    </w:p>
    <w:p>
      <w:pPr>
        <w:pStyle w:val="8"/>
        <w:rPr>
          <w:rFonts w:hAnsi="宋体" w:cs="宋体"/>
          <w:color w:val="auto"/>
          <w:highlight w:val="none"/>
        </w:rPr>
      </w:pPr>
    </w:p>
    <w:p>
      <w:pPr>
        <w:pStyle w:val="8"/>
        <w:rPr>
          <w:rFonts w:hAnsi="宋体" w:cs="宋体"/>
          <w:color w:val="auto"/>
          <w:highlight w:val="none"/>
        </w:rPr>
      </w:pPr>
    </w:p>
    <w:p>
      <w:pPr>
        <w:pStyle w:val="8"/>
        <w:rPr>
          <w:rFonts w:hAnsi="宋体" w:cs="宋体"/>
          <w:color w:val="auto"/>
          <w:highlight w:val="none"/>
        </w:rPr>
      </w:pPr>
    </w:p>
    <w:p>
      <w:pPr>
        <w:pStyle w:val="8"/>
        <w:rPr>
          <w:rFonts w:hAnsi="宋体" w:cs="宋体"/>
          <w:color w:val="auto"/>
          <w:highlight w:val="none"/>
        </w:rPr>
      </w:pPr>
    </w:p>
    <w:p>
      <w:pPr>
        <w:pStyle w:val="8"/>
        <w:rPr>
          <w:rFonts w:hAnsi="宋体" w:cs="宋体"/>
          <w:color w:val="auto"/>
          <w:highlight w:val="none"/>
        </w:rPr>
      </w:pPr>
    </w:p>
    <w:p>
      <w:pPr>
        <w:pStyle w:val="8"/>
        <w:rPr>
          <w:rFonts w:hAnsi="宋体" w:cs="宋体"/>
          <w:color w:val="auto"/>
          <w:highlight w:val="none"/>
        </w:rPr>
      </w:pPr>
    </w:p>
    <w:p>
      <w:pPr>
        <w:pStyle w:val="8"/>
        <w:rPr>
          <w:rFonts w:hAnsi="宋体" w:cs="宋体"/>
          <w:color w:val="auto"/>
          <w:highlight w:val="none"/>
        </w:rPr>
      </w:pPr>
    </w:p>
    <w:p>
      <w:pPr>
        <w:pStyle w:val="8"/>
        <w:rPr>
          <w:rFonts w:hAnsi="宋体" w:cs="宋体"/>
          <w:color w:val="auto"/>
          <w:highlight w:val="none"/>
        </w:rPr>
      </w:pPr>
    </w:p>
    <w:p>
      <w:pPr>
        <w:pStyle w:val="8"/>
        <w:rPr>
          <w:rFonts w:hAnsi="宋体" w:cs="宋体"/>
          <w:color w:val="auto"/>
          <w:highlight w:val="none"/>
        </w:rPr>
      </w:pPr>
    </w:p>
    <w:p>
      <w:pPr>
        <w:pStyle w:val="8"/>
        <w:rPr>
          <w:rFonts w:hAnsi="宋体" w:cs="宋体"/>
          <w:color w:val="auto"/>
          <w:highlight w:val="none"/>
        </w:rPr>
      </w:pPr>
    </w:p>
    <w:p>
      <w:pPr>
        <w:pStyle w:val="8"/>
        <w:rPr>
          <w:rFonts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pStyle w:val="2"/>
        <w:adjustRightInd w:val="0"/>
        <w:snapToGrid w:val="0"/>
        <w:spacing w:before="156" w:beforeLines="50" w:after="156" w:afterLines="50" w:line="360" w:lineRule="auto"/>
        <w:jc w:val="center"/>
        <w:rPr>
          <w:rFonts w:ascii="宋体" w:hAnsi="宋体" w:eastAsia="宋体" w:cs="宋体"/>
          <w:b w:val="0"/>
          <w:color w:val="auto"/>
          <w:kern w:val="0"/>
          <w:highlight w:val="none"/>
        </w:rPr>
      </w:pPr>
      <w:r>
        <w:rPr>
          <w:rFonts w:hint="eastAsia" w:ascii="宋体" w:hAnsi="宋体" w:eastAsia="宋体" w:cs="宋体"/>
          <w:b w:val="0"/>
          <w:color w:val="auto"/>
          <w:kern w:val="0"/>
          <w:highlight w:val="none"/>
        </w:rPr>
        <w:t>（四）法定代表人授权委托书</w:t>
      </w:r>
    </w:p>
    <w:p>
      <w:pPr>
        <w:pStyle w:val="8"/>
        <w:spacing w:line="360" w:lineRule="auto"/>
        <w:ind w:firstLine="420" w:firstLineChars="200"/>
        <w:rPr>
          <w:rFonts w:hAnsi="宋体" w:cs="宋体"/>
          <w:color w:val="auto"/>
          <w:sz w:val="21"/>
          <w:highlight w:val="none"/>
        </w:rPr>
      </w:pPr>
      <w:r>
        <w:rPr>
          <w:rFonts w:hint="eastAsia" w:hAnsi="宋体" w:cs="宋体"/>
          <w:color w:val="auto"/>
          <w:sz w:val="21"/>
          <w:highlight w:val="none"/>
        </w:rPr>
        <w:t>本授权委托书声明：注册于</w:t>
      </w:r>
      <w:r>
        <w:rPr>
          <w:rFonts w:hint="eastAsia" w:hAnsi="宋体" w:cs="宋体"/>
          <w:color w:val="auto"/>
          <w:sz w:val="21"/>
          <w:highlight w:val="none"/>
          <w:u w:val="single"/>
        </w:rPr>
        <w:t xml:space="preserve"> （投标人地址）  </w:t>
      </w:r>
      <w:r>
        <w:rPr>
          <w:rFonts w:hint="eastAsia" w:hAnsi="宋体" w:cs="宋体"/>
          <w:color w:val="auto"/>
          <w:sz w:val="21"/>
          <w:highlight w:val="none"/>
        </w:rPr>
        <w:t>的</w:t>
      </w:r>
      <w:r>
        <w:rPr>
          <w:rFonts w:hint="eastAsia" w:hAnsi="宋体" w:cs="宋体"/>
          <w:color w:val="auto"/>
          <w:sz w:val="21"/>
          <w:highlight w:val="none"/>
          <w:u w:val="single"/>
        </w:rPr>
        <w:t xml:space="preserve">  （投标人名称）    </w:t>
      </w:r>
      <w:r>
        <w:rPr>
          <w:rFonts w:hint="eastAsia" w:hAnsi="宋体" w:cs="宋体"/>
          <w:color w:val="auto"/>
          <w:sz w:val="21"/>
          <w:highlight w:val="none"/>
        </w:rPr>
        <w:t>在下面签名的</w:t>
      </w:r>
      <w:r>
        <w:rPr>
          <w:rFonts w:hint="eastAsia" w:hAnsi="宋体" w:cs="宋体"/>
          <w:color w:val="auto"/>
          <w:sz w:val="21"/>
          <w:highlight w:val="none"/>
          <w:u w:val="single"/>
        </w:rPr>
        <w:t>（法定代表人姓名、职务）</w:t>
      </w:r>
      <w:r>
        <w:rPr>
          <w:rFonts w:hint="eastAsia" w:hAnsi="宋体" w:cs="宋体"/>
          <w:color w:val="auto"/>
          <w:sz w:val="21"/>
          <w:highlight w:val="none"/>
        </w:rPr>
        <w:t>在此授权本公司</w:t>
      </w:r>
      <w:r>
        <w:rPr>
          <w:rFonts w:hint="eastAsia" w:hAnsi="宋体" w:cs="宋体"/>
          <w:color w:val="auto"/>
          <w:sz w:val="21"/>
          <w:highlight w:val="none"/>
          <w:u w:val="single"/>
        </w:rPr>
        <w:t>（被授权人姓名、职务）</w:t>
      </w:r>
      <w:r>
        <w:rPr>
          <w:rFonts w:hint="eastAsia" w:hAnsi="宋体" w:cs="宋体"/>
          <w:color w:val="auto"/>
          <w:sz w:val="21"/>
          <w:highlight w:val="none"/>
        </w:rPr>
        <w:t>作为我公司的合法代理人，就</w:t>
      </w:r>
      <w:r>
        <w:rPr>
          <w:rFonts w:hint="eastAsia" w:hAnsi="宋体" w:cs="宋体"/>
          <w:color w:val="auto"/>
          <w:sz w:val="21"/>
          <w:highlight w:val="none"/>
          <w:u w:val="single"/>
        </w:rPr>
        <w:t>中山市火炬科学技术学校小卖部承包经营项目</w:t>
      </w:r>
      <w:r>
        <w:rPr>
          <w:rFonts w:hint="eastAsia" w:hAnsi="宋体" w:cs="宋体"/>
          <w:color w:val="auto"/>
          <w:sz w:val="21"/>
          <w:highlight w:val="none"/>
        </w:rPr>
        <w:t>（项目编号：FH2022CG0113）的招投标活动，提交投标文件及招标合同的签订、执行、完成和售后服务，作为投标人代表以我方的名义处理一切与之有关的事务。被授权人（投标人授权代表）无转委托权限。本授权书自法定代表人签字之日起生效，特此声明。</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随附《法定代表人证明书》</w:t>
      </w:r>
    </w:p>
    <w:p>
      <w:pPr>
        <w:spacing w:line="360" w:lineRule="auto"/>
        <w:rPr>
          <w:rFonts w:ascii="宋体" w:hAnsi="宋体" w:cs="宋体"/>
          <w:color w:val="auto"/>
          <w:sz w:val="21"/>
          <w:szCs w:val="21"/>
          <w:highlight w:val="none"/>
        </w:rPr>
      </w:pP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投标人名称（盖公章）：</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      址：</w:t>
      </w:r>
    </w:p>
    <w:p>
      <w:pPr>
        <w:tabs>
          <w:tab w:val="left" w:pos="3780"/>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法定代表人（签字或盖私章）：                         签字日期：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pPr>
        <w:pStyle w:val="6"/>
        <w:kinsoku w:val="0"/>
        <w:overflowPunct w:val="0"/>
        <w:spacing w:line="360" w:lineRule="auto"/>
        <w:rPr>
          <w:rFonts w:ascii="宋体" w:hAnsi="宋体" w:cs="宋体"/>
          <w:color w:val="auto"/>
          <w:sz w:val="21"/>
          <w:szCs w:val="21"/>
          <w:highlight w:val="none"/>
        </w:rPr>
      </w:pPr>
    </w:p>
    <w:p>
      <w:pPr>
        <w:pStyle w:val="6"/>
        <w:kinsoku w:val="0"/>
        <w:overflowPunct w:val="0"/>
        <w:spacing w:line="360" w:lineRule="auto"/>
        <w:rPr>
          <w:rFonts w:ascii="宋体" w:hAnsi="宋体" w:cs="宋体"/>
          <w:color w:val="auto"/>
          <w:sz w:val="21"/>
          <w:szCs w:val="21"/>
          <w:highlight w:val="none"/>
        </w:rPr>
      </w:pPr>
      <w:r>
        <w:rPr>
          <w:rFonts w:ascii="宋体" w:hAnsi="宋体" w:cs="宋体"/>
          <w:color w:val="auto"/>
          <w:sz w:val="21"/>
          <w:szCs w:val="21"/>
          <w:highlight w:val="none"/>
        </w:rPr>
        <mc:AlternateContent>
          <mc:Choice Requires="wps">
            <w:drawing>
              <wp:anchor distT="0" distB="0" distL="114300" distR="114300" simplePos="0" relativeHeight="251666432" behindDoc="0" locked="0" layoutInCell="0" allowOverlap="1">
                <wp:simplePos x="0" y="0"/>
                <wp:positionH relativeFrom="page">
                  <wp:posOffset>1135380</wp:posOffset>
                </wp:positionH>
                <wp:positionV relativeFrom="paragraph">
                  <wp:posOffset>27305</wp:posOffset>
                </wp:positionV>
                <wp:extent cx="2697480" cy="1729740"/>
                <wp:effectExtent l="4445" t="5080" r="22225" b="17780"/>
                <wp:wrapNone/>
                <wp:docPr id="6" name="文本框 114"/>
                <wp:cNvGraphicFramePr/>
                <a:graphic xmlns:a="http://schemas.openxmlformats.org/drawingml/2006/main">
                  <a:graphicData uri="http://schemas.microsoft.com/office/word/2010/wordprocessingShape">
                    <wps:wsp>
                      <wps:cNvSpPr txBox="1"/>
                      <wps:spPr>
                        <a:xfrm>
                          <a:off x="0" y="0"/>
                          <a:ext cx="2011680" cy="1310640"/>
                        </a:xfrm>
                        <a:prstGeom prst="rect">
                          <a:avLst/>
                        </a:prstGeom>
                        <a:noFill/>
                        <a:ln w="9524" cap="flat" cmpd="sng">
                          <a:solidFill>
                            <a:srgbClr val="000000"/>
                          </a:solidFill>
                          <a:prstDash val="solid"/>
                          <a:miter/>
                          <a:headEnd type="none" w="med" len="med"/>
                          <a:tailEnd type="none" w="med" len="med"/>
                        </a:ln>
                        <a:effectLst/>
                      </wps:spPr>
                      <wps:txbx>
                        <w:txbxContent>
                          <w:p>
                            <w:pPr>
                              <w:pStyle w:val="6"/>
                              <w:kinsoku w:val="0"/>
                              <w:overflowPunct w:val="0"/>
                              <w:spacing w:before="58"/>
                              <w:ind w:left="144"/>
                              <w:jc w:val="center"/>
                              <w:rPr>
                                <w:spacing w:val="-2"/>
                              </w:rPr>
                            </w:pPr>
                          </w:p>
                          <w:p>
                            <w:pPr>
                              <w:pStyle w:val="6"/>
                              <w:kinsoku w:val="0"/>
                              <w:overflowPunct w:val="0"/>
                              <w:spacing w:before="58"/>
                              <w:ind w:left="144"/>
                              <w:jc w:val="center"/>
                              <w:rPr>
                                <w:spacing w:val="-2"/>
                              </w:rPr>
                            </w:pPr>
                          </w:p>
                          <w:p>
                            <w:pPr>
                              <w:pStyle w:val="6"/>
                              <w:kinsoku w:val="0"/>
                              <w:overflowPunct w:val="0"/>
                              <w:spacing w:before="58"/>
                              <w:ind w:left="144"/>
                              <w:jc w:val="center"/>
                              <w:rPr>
                                <w:spacing w:val="-2"/>
                              </w:rPr>
                            </w:pPr>
                          </w:p>
                          <w:p>
                            <w:pPr>
                              <w:pStyle w:val="6"/>
                              <w:kinsoku w:val="0"/>
                              <w:overflowPunct w:val="0"/>
                              <w:spacing w:before="58"/>
                              <w:ind w:left="144"/>
                              <w:jc w:val="center"/>
                              <w:rPr>
                                <w:spacing w:val="-2"/>
                              </w:rPr>
                            </w:pPr>
                            <w:r>
                              <w:rPr>
                                <w:rFonts w:hint="eastAsia"/>
                                <w:spacing w:val="-2"/>
                              </w:rPr>
                              <w:t>授权代表身份证（国徽面）</w:t>
                            </w:r>
                          </w:p>
                        </w:txbxContent>
                      </wps:txbx>
                      <wps:bodyPr lIns="0" tIns="0" rIns="0" bIns="0" upright="1"/>
                    </wps:wsp>
                  </a:graphicData>
                </a:graphic>
              </wp:anchor>
            </w:drawing>
          </mc:Choice>
          <mc:Fallback>
            <w:pict>
              <v:shape id="文本框 114" o:spid="_x0000_s1026" o:spt="202" type="#_x0000_t202" style="position:absolute;left:0pt;margin-left:89.4pt;margin-top:2.15pt;height:136.2pt;width:212.4pt;mso-position-horizontal-relative:page;z-index:251666432;mso-width-relative:page;mso-height-relative:page;" filled="f" stroked="t" coordsize="21600,21600" o:allowincell="f" o:gfxdata="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c9v/dYAAAAJAQAA&#10;DwAAAAAAAAABACAAAAAiAAAAZHJzL2Rvd25yZXYueG1sUEsBAhQAFAAAAAgAh07iQMzs+MEbAgAA&#10;QgQAAA4AAAAAAAAAAQAgAAAAJQEAAGRycy9lMm9Eb2MueG1sUEsFBgAAAAAGAAYAWQEAALIFAAAA&#10;AA==&#10;">
                <v:fill on="f" focussize="0,0"/>
                <v:stroke weight="0.74992125984252pt" color="#000000" joinstyle="miter"/>
                <v:imagedata o:title=""/>
                <o:lock v:ext="edit" aspectratio="f"/>
                <v:textbox inset="0mm,0mm,0mm,0mm">
                  <w:txbxContent>
                    <w:p>
                      <w:pPr>
                        <w:pStyle w:val="6"/>
                        <w:kinsoku w:val="0"/>
                        <w:overflowPunct w:val="0"/>
                        <w:spacing w:before="58"/>
                        <w:ind w:left="144"/>
                        <w:jc w:val="center"/>
                        <w:rPr>
                          <w:spacing w:val="-2"/>
                        </w:rPr>
                      </w:pPr>
                    </w:p>
                    <w:p>
                      <w:pPr>
                        <w:pStyle w:val="6"/>
                        <w:kinsoku w:val="0"/>
                        <w:overflowPunct w:val="0"/>
                        <w:spacing w:before="58"/>
                        <w:ind w:left="144"/>
                        <w:jc w:val="center"/>
                        <w:rPr>
                          <w:spacing w:val="-2"/>
                        </w:rPr>
                      </w:pPr>
                    </w:p>
                    <w:p>
                      <w:pPr>
                        <w:pStyle w:val="6"/>
                        <w:kinsoku w:val="0"/>
                        <w:overflowPunct w:val="0"/>
                        <w:spacing w:before="58"/>
                        <w:ind w:left="144"/>
                        <w:jc w:val="center"/>
                        <w:rPr>
                          <w:spacing w:val="-2"/>
                        </w:rPr>
                      </w:pPr>
                    </w:p>
                    <w:p>
                      <w:pPr>
                        <w:pStyle w:val="6"/>
                        <w:kinsoku w:val="0"/>
                        <w:overflowPunct w:val="0"/>
                        <w:spacing w:before="58"/>
                        <w:ind w:left="144"/>
                        <w:jc w:val="center"/>
                        <w:rPr>
                          <w:spacing w:val="-2"/>
                        </w:rPr>
                      </w:pPr>
                      <w:r>
                        <w:rPr>
                          <w:rFonts w:hint="eastAsia"/>
                          <w:spacing w:val="-2"/>
                        </w:rPr>
                        <w:t>授权代表身份证（国徽面）</w:t>
                      </w:r>
                    </w:p>
                  </w:txbxContent>
                </v:textbox>
              </v:shape>
            </w:pict>
          </mc:Fallback>
        </mc:AlternateContent>
      </w:r>
      <w:r>
        <w:rPr>
          <w:rFonts w:ascii="宋体" w:hAnsi="宋体" w:cs="宋体"/>
          <w:color w:val="auto"/>
          <w:sz w:val="21"/>
          <w:szCs w:val="21"/>
          <w:highlight w:val="none"/>
        </w:rPr>
        <mc:AlternateContent>
          <mc:Choice Requires="wps">
            <w:drawing>
              <wp:anchor distT="0" distB="0" distL="114300" distR="114300" simplePos="0" relativeHeight="251667456" behindDoc="0" locked="0" layoutInCell="0" allowOverlap="1">
                <wp:simplePos x="0" y="0"/>
                <wp:positionH relativeFrom="page">
                  <wp:posOffset>3930650</wp:posOffset>
                </wp:positionH>
                <wp:positionV relativeFrom="paragraph">
                  <wp:posOffset>27305</wp:posOffset>
                </wp:positionV>
                <wp:extent cx="2621280" cy="1720215"/>
                <wp:effectExtent l="5080" t="4445" r="21590" b="8890"/>
                <wp:wrapNone/>
                <wp:docPr id="7" name="文本框 115"/>
                <wp:cNvGraphicFramePr/>
                <a:graphic xmlns:a="http://schemas.openxmlformats.org/drawingml/2006/main">
                  <a:graphicData uri="http://schemas.microsoft.com/office/word/2010/wordprocessingShape">
                    <wps:wsp>
                      <wps:cNvSpPr txBox="1"/>
                      <wps:spPr>
                        <a:xfrm>
                          <a:off x="0" y="0"/>
                          <a:ext cx="2011680" cy="1310640"/>
                        </a:xfrm>
                        <a:prstGeom prst="rect">
                          <a:avLst/>
                        </a:prstGeom>
                        <a:noFill/>
                        <a:ln w="9525" cap="flat" cmpd="sng">
                          <a:solidFill>
                            <a:srgbClr val="000000"/>
                          </a:solidFill>
                          <a:prstDash val="solid"/>
                          <a:miter/>
                          <a:headEnd type="none" w="med" len="med"/>
                          <a:tailEnd type="none" w="med" len="med"/>
                        </a:ln>
                        <a:effectLst/>
                      </wps:spPr>
                      <wps:txbx>
                        <w:txbxContent>
                          <w:p>
                            <w:pPr>
                              <w:pStyle w:val="6"/>
                              <w:kinsoku w:val="0"/>
                              <w:overflowPunct w:val="0"/>
                              <w:spacing w:before="58"/>
                              <w:ind w:left="145"/>
                              <w:jc w:val="center"/>
                              <w:rPr>
                                <w:spacing w:val="-2"/>
                              </w:rPr>
                            </w:pPr>
                          </w:p>
                          <w:p>
                            <w:pPr>
                              <w:pStyle w:val="6"/>
                              <w:kinsoku w:val="0"/>
                              <w:overflowPunct w:val="0"/>
                              <w:spacing w:before="58"/>
                              <w:ind w:left="145"/>
                              <w:jc w:val="center"/>
                              <w:rPr>
                                <w:spacing w:val="-2"/>
                              </w:rPr>
                            </w:pPr>
                          </w:p>
                          <w:p>
                            <w:pPr>
                              <w:pStyle w:val="6"/>
                              <w:kinsoku w:val="0"/>
                              <w:overflowPunct w:val="0"/>
                              <w:spacing w:before="58"/>
                              <w:ind w:left="145"/>
                              <w:jc w:val="center"/>
                              <w:rPr>
                                <w:spacing w:val="-2"/>
                              </w:rPr>
                            </w:pPr>
                          </w:p>
                          <w:p>
                            <w:pPr>
                              <w:pStyle w:val="6"/>
                              <w:kinsoku w:val="0"/>
                              <w:overflowPunct w:val="0"/>
                              <w:spacing w:before="58"/>
                              <w:ind w:left="145"/>
                              <w:jc w:val="center"/>
                              <w:rPr>
                                <w:spacing w:val="-2"/>
                              </w:rPr>
                            </w:pPr>
                            <w:r>
                              <w:rPr>
                                <w:rFonts w:hint="eastAsia"/>
                                <w:spacing w:val="-2"/>
                              </w:rPr>
                              <w:t>授权代表身份证（人像面）</w:t>
                            </w:r>
                          </w:p>
                        </w:txbxContent>
                      </wps:txbx>
                      <wps:bodyPr lIns="0" tIns="0" rIns="0" bIns="0" upright="1"/>
                    </wps:wsp>
                  </a:graphicData>
                </a:graphic>
              </wp:anchor>
            </w:drawing>
          </mc:Choice>
          <mc:Fallback>
            <w:pict>
              <v:shape id="文本框 115" o:spid="_x0000_s1026" o:spt="202" type="#_x0000_t202" style="position:absolute;left:0pt;margin-left:309.5pt;margin-top:2.15pt;height:135.45pt;width:206.4pt;mso-position-horizontal-relative:page;z-index:251667456;mso-width-relative:page;mso-height-relative:page;" filled="f" stroked="t" coordsize="21600,21600" o:allowincell="f" o:gfxdata="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c5+I52gAA&#10;AAoBAAAPAAAAAAAAAAEAIAAAACIAAABkcnMvZG93bnJldi54bWxQSwECFAAUAAAACACHTuJAqkLJ&#10;6xwCAABCBAAADgAAAAAAAAABACAAAAApAQAAZHJzL2Uyb0RvYy54bWxQSwUGAAAAAAYABgBZAQAA&#10;twUAAAAA&#10;">
                <v:fill on="f" focussize="0,0"/>
                <v:stroke color="#000000" joinstyle="miter"/>
                <v:imagedata o:title=""/>
                <o:lock v:ext="edit" aspectratio="f"/>
                <v:textbox inset="0mm,0mm,0mm,0mm">
                  <w:txbxContent>
                    <w:p>
                      <w:pPr>
                        <w:pStyle w:val="6"/>
                        <w:kinsoku w:val="0"/>
                        <w:overflowPunct w:val="0"/>
                        <w:spacing w:before="58"/>
                        <w:ind w:left="145"/>
                        <w:jc w:val="center"/>
                        <w:rPr>
                          <w:spacing w:val="-2"/>
                        </w:rPr>
                      </w:pPr>
                    </w:p>
                    <w:p>
                      <w:pPr>
                        <w:pStyle w:val="6"/>
                        <w:kinsoku w:val="0"/>
                        <w:overflowPunct w:val="0"/>
                        <w:spacing w:before="58"/>
                        <w:ind w:left="145"/>
                        <w:jc w:val="center"/>
                        <w:rPr>
                          <w:spacing w:val="-2"/>
                        </w:rPr>
                      </w:pPr>
                    </w:p>
                    <w:p>
                      <w:pPr>
                        <w:pStyle w:val="6"/>
                        <w:kinsoku w:val="0"/>
                        <w:overflowPunct w:val="0"/>
                        <w:spacing w:before="58"/>
                        <w:ind w:left="145"/>
                        <w:jc w:val="center"/>
                        <w:rPr>
                          <w:spacing w:val="-2"/>
                        </w:rPr>
                      </w:pPr>
                    </w:p>
                    <w:p>
                      <w:pPr>
                        <w:pStyle w:val="6"/>
                        <w:kinsoku w:val="0"/>
                        <w:overflowPunct w:val="0"/>
                        <w:spacing w:before="58"/>
                        <w:ind w:left="145"/>
                        <w:jc w:val="center"/>
                        <w:rPr>
                          <w:spacing w:val="-2"/>
                        </w:rPr>
                      </w:pPr>
                      <w:r>
                        <w:rPr>
                          <w:rFonts w:hint="eastAsia"/>
                          <w:spacing w:val="-2"/>
                        </w:rPr>
                        <w:t>授权代表身份证（人像面）</w:t>
                      </w:r>
                    </w:p>
                  </w:txbxContent>
                </v:textbox>
              </v:shape>
            </w:pict>
          </mc:Fallback>
        </mc:AlternateContent>
      </w:r>
    </w:p>
    <w:p>
      <w:pPr>
        <w:pStyle w:val="6"/>
        <w:kinsoku w:val="0"/>
        <w:overflowPunct w:val="0"/>
        <w:spacing w:line="360" w:lineRule="auto"/>
        <w:rPr>
          <w:rFonts w:ascii="宋体" w:hAnsi="宋体" w:cs="宋体"/>
          <w:color w:val="auto"/>
          <w:sz w:val="21"/>
          <w:szCs w:val="21"/>
          <w:highlight w:val="none"/>
        </w:rPr>
      </w:pPr>
    </w:p>
    <w:p>
      <w:pPr>
        <w:pStyle w:val="6"/>
        <w:kinsoku w:val="0"/>
        <w:overflowPunct w:val="0"/>
        <w:spacing w:line="360" w:lineRule="auto"/>
        <w:rPr>
          <w:rFonts w:ascii="宋体" w:hAnsi="宋体" w:cs="宋体"/>
          <w:color w:val="auto"/>
          <w:sz w:val="21"/>
          <w:szCs w:val="21"/>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19"/>
        <w:rPr>
          <w:color w:val="auto"/>
          <w:highlight w:val="none"/>
        </w:rPr>
      </w:pPr>
    </w:p>
    <w:p>
      <w:pPr>
        <w:rPr>
          <w:rFonts w:ascii="宋体" w:hAnsi="宋体" w:cs="宋体"/>
          <w:color w:val="auto"/>
          <w:highlight w:val="none"/>
        </w:rPr>
      </w:pPr>
    </w:p>
    <w:p>
      <w:pPr>
        <w:pStyle w:val="2"/>
        <w:adjustRightInd w:val="0"/>
        <w:snapToGrid w:val="0"/>
        <w:spacing w:before="156" w:beforeLines="50" w:after="156" w:afterLines="50" w:line="360" w:lineRule="auto"/>
        <w:jc w:val="center"/>
        <w:rPr>
          <w:rFonts w:ascii="宋体" w:hAnsi="宋体" w:eastAsia="宋体" w:cs="宋体"/>
          <w:b w:val="0"/>
          <w:color w:val="auto"/>
          <w:kern w:val="0"/>
          <w:highlight w:val="none"/>
        </w:rPr>
      </w:pPr>
      <w:r>
        <w:rPr>
          <w:rFonts w:hint="eastAsia" w:ascii="宋体" w:hAnsi="宋体" w:eastAsia="宋体" w:cs="宋体"/>
          <w:b w:val="0"/>
          <w:color w:val="auto"/>
          <w:kern w:val="0"/>
          <w:highlight w:val="none"/>
        </w:rPr>
        <w:t>（五）法定代表人证明书</w:t>
      </w:r>
    </w:p>
    <w:p>
      <w:pPr>
        <w:tabs>
          <w:tab w:val="left" w:pos="900"/>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同志，现任我单位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职务，为法定代表人，特此证明。本证明书自签发之日起生效，有效期与本公司投标文件中标注的投标有效期相同。</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附：</w:t>
      </w:r>
    </w:p>
    <w:p>
      <w:pPr>
        <w:spacing w:line="360" w:lineRule="auto"/>
        <w:rPr>
          <w:rFonts w:ascii="宋体" w:hAnsi="宋体" w:cs="宋体"/>
          <w:color w:val="auto"/>
          <w:sz w:val="21"/>
          <w:szCs w:val="21"/>
          <w:highlight w:val="none"/>
        </w:rPr>
      </w:pPr>
      <w:bookmarkStart w:id="18" w:name="_Hlk50973154"/>
      <w:r>
        <w:rPr>
          <w:rFonts w:hint="eastAsia" w:ascii="宋体" w:hAnsi="宋体" w:cs="宋体"/>
          <w:color w:val="auto"/>
          <w:sz w:val="21"/>
          <w:szCs w:val="21"/>
          <w:highlight w:val="none"/>
        </w:rPr>
        <w:t>营业执照（注册号）：</w:t>
      </w:r>
      <w:bookmarkEnd w:id="18"/>
      <w:r>
        <w:rPr>
          <w:rFonts w:hint="eastAsia" w:ascii="宋体" w:hAnsi="宋体" w:cs="宋体"/>
          <w:color w:val="auto"/>
          <w:sz w:val="21"/>
          <w:szCs w:val="21"/>
          <w:highlight w:val="none"/>
        </w:rPr>
        <w:t xml:space="preserve">                       经济性质：</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主营（产）：</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兼营（产）：</w:t>
      </w:r>
    </w:p>
    <w:p>
      <w:pPr>
        <w:pStyle w:val="6"/>
        <w:tabs>
          <w:tab w:val="left" w:pos="4676"/>
        </w:tabs>
        <w:kinsoku w:val="0"/>
        <w:overflowPunct w:val="0"/>
        <w:spacing w:line="360" w:lineRule="auto"/>
        <w:ind w:left="248"/>
        <w:rPr>
          <w:rFonts w:ascii="宋体" w:hAnsi="宋体" w:cs="宋体"/>
          <w:color w:val="auto"/>
          <w:sz w:val="21"/>
          <w:szCs w:val="21"/>
          <w:highlight w:val="none"/>
        </w:rPr>
      </w:pPr>
      <w:r>
        <w:rPr>
          <w:rFonts w:ascii="宋体" w:hAnsi="宋体" w:cs="宋体"/>
          <w:color w:val="auto"/>
          <w:position w:val="8"/>
          <w:sz w:val="21"/>
          <w:szCs w:val="21"/>
          <w:highlight w:val="none"/>
        </w:rPr>
        <mc:AlternateContent>
          <mc:Choice Requires="wps">
            <w:drawing>
              <wp:inline distT="0" distB="0" distL="114300" distR="114300">
                <wp:extent cx="2630805" cy="2082165"/>
                <wp:effectExtent l="5080" t="5080" r="12065" b="8255"/>
                <wp:docPr id="3" name="文本框 88"/>
                <wp:cNvGraphicFramePr/>
                <a:graphic xmlns:a="http://schemas.openxmlformats.org/drawingml/2006/main">
                  <a:graphicData uri="http://schemas.microsoft.com/office/word/2010/wordprocessingShape">
                    <wps:wsp>
                      <wps:cNvSpPr txBox="1"/>
                      <wps:spPr>
                        <a:xfrm>
                          <a:off x="0" y="0"/>
                          <a:ext cx="2011680" cy="1310640"/>
                        </a:xfrm>
                        <a:prstGeom prst="rect">
                          <a:avLst/>
                        </a:prstGeom>
                        <a:noFill/>
                        <a:ln w="9524" cap="flat" cmpd="sng">
                          <a:solidFill>
                            <a:srgbClr val="000000"/>
                          </a:solidFill>
                          <a:prstDash val="solid"/>
                          <a:miter/>
                          <a:headEnd type="none" w="med" len="med"/>
                          <a:tailEnd type="none" w="med" len="med"/>
                        </a:ln>
                        <a:effectLst/>
                      </wps:spPr>
                      <wps:txbx>
                        <w:txbxContent>
                          <w:p>
                            <w:pPr>
                              <w:pStyle w:val="6"/>
                              <w:kinsoku w:val="0"/>
                              <w:overflowPunct w:val="0"/>
                              <w:spacing w:before="58"/>
                              <w:ind w:left="144"/>
                              <w:jc w:val="center"/>
                              <w:rPr>
                                <w:spacing w:val="-2"/>
                                <w:sz w:val="21"/>
                              </w:rPr>
                            </w:pPr>
                          </w:p>
                          <w:p>
                            <w:pPr>
                              <w:pStyle w:val="6"/>
                              <w:kinsoku w:val="0"/>
                              <w:overflowPunct w:val="0"/>
                              <w:spacing w:before="58"/>
                              <w:ind w:left="144"/>
                              <w:jc w:val="center"/>
                              <w:rPr>
                                <w:spacing w:val="-2"/>
                                <w:sz w:val="21"/>
                              </w:rPr>
                            </w:pPr>
                          </w:p>
                          <w:p>
                            <w:pPr>
                              <w:pStyle w:val="6"/>
                              <w:kinsoku w:val="0"/>
                              <w:overflowPunct w:val="0"/>
                              <w:spacing w:before="58"/>
                              <w:ind w:left="144"/>
                              <w:jc w:val="center"/>
                              <w:rPr>
                                <w:spacing w:val="-2"/>
                                <w:sz w:val="21"/>
                              </w:rPr>
                            </w:pPr>
                          </w:p>
                          <w:p>
                            <w:pPr>
                              <w:pStyle w:val="6"/>
                              <w:kinsoku w:val="0"/>
                              <w:overflowPunct w:val="0"/>
                              <w:spacing w:before="58"/>
                              <w:ind w:left="144"/>
                              <w:jc w:val="center"/>
                              <w:rPr>
                                <w:spacing w:val="-2"/>
                                <w:sz w:val="21"/>
                              </w:rPr>
                            </w:pPr>
                            <w:r>
                              <w:rPr>
                                <w:rFonts w:hint="eastAsia"/>
                                <w:spacing w:val="-2"/>
                                <w:sz w:val="21"/>
                              </w:rPr>
                              <w:t>法定代表人身份证（国徽面）</w:t>
                            </w:r>
                          </w:p>
                        </w:txbxContent>
                      </wps:txbx>
                      <wps:bodyPr lIns="0" tIns="0" rIns="0" bIns="0" upright="1"/>
                    </wps:wsp>
                  </a:graphicData>
                </a:graphic>
              </wp:inline>
            </w:drawing>
          </mc:Choice>
          <mc:Fallback>
            <w:pict>
              <v:shape id="文本框 88" o:spid="_x0000_s1026" o:spt="202" type="#_x0000_t202" style="height:163.95pt;width:207.15pt;" filled="f" stroked="t" coordsize="21600,21600" o:gfxdata="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kaARs1QAAAAUBAAAP&#10;AAAAAAAAAAEAIAAAACIAAABkcnMvZG93bnJldi54bWxQSwECFAAUAAAACACHTuJAUNuHuBsCAABB&#10;BAAADgAAAAAAAAABACAAAAAkAQAAZHJzL2Uyb0RvYy54bWxQSwUGAAAAAAYABgBZAQAAsQUAAAAA&#10;">
                <v:fill on="f" focussize="0,0"/>
                <v:stroke weight="0.74992125984252pt" color="#000000" joinstyle="miter"/>
                <v:imagedata o:title=""/>
                <o:lock v:ext="edit" aspectratio="f"/>
                <v:textbox inset="0mm,0mm,0mm,0mm">
                  <w:txbxContent>
                    <w:p>
                      <w:pPr>
                        <w:pStyle w:val="6"/>
                        <w:kinsoku w:val="0"/>
                        <w:overflowPunct w:val="0"/>
                        <w:spacing w:before="58"/>
                        <w:ind w:left="144"/>
                        <w:jc w:val="center"/>
                        <w:rPr>
                          <w:spacing w:val="-2"/>
                          <w:sz w:val="21"/>
                        </w:rPr>
                      </w:pPr>
                    </w:p>
                    <w:p>
                      <w:pPr>
                        <w:pStyle w:val="6"/>
                        <w:kinsoku w:val="0"/>
                        <w:overflowPunct w:val="0"/>
                        <w:spacing w:before="58"/>
                        <w:ind w:left="144"/>
                        <w:jc w:val="center"/>
                        <w:rPr>
                          <w:spacing w:val="-2"/>
                          <w:sz w:val="21"/>
                        </w:rPr>
                      </w:pPr>
                    </w:p>
                    <w:p>
                      <w:pPr>
                        <w:pStyle w:val="6"/>
                        <w:kinsoku w:val="0"/>
                        <w:overflowPunct w:val="0"/>
                        <w:spacing w:before="58"/>
                        <w:ind w:left="144"/>
                        <w:jc w:val="center"/>
                        <w:rPr>
                          <w:spacing w:val="-2"/>
                          <w:sz w:val="21"/>
                        </w:rPr>
                      </w:pPr>
                    </w:p>
                    <w:p>
                      <w:pPr>
                        <w:pStyle w:val="6"/>
                        <w:kinsoku w:val="0"/>
                        <w:overflowPunct w:val="0"/>
                        <w:spacing w:before="58"/>
                        <w:ind w:left="144"/>
                        <w:jc w:val="center"/>
                        <w:rPr>
                          <w:spacing w:val="-2"/>
                          <w:sz w:val="21"/>
                        </w:rPr>
                      </w:pPr>
                      <w:r>
                        <w:rPr>
                          <w:rFonts w:hint="eastAsia"/>
                          <w:spacing w:val="-2"/>
                          <w:sz w:val="21"/>
                        </w:rPr>
                        <w:t>法定代表人身份证（国徽面）</w:t>
                      </w:r>
                    </w:p>
                  </w:txbxContent>
                </v:textbox>
                <w10:wrap type="none"/>
                <w10:anchorlock/>
              </v:shape>
            </w:pict>
          </mc:Fallback>
        </mc:AlternateContent>
      </w:r>
      <w:r>
        <w:rPr>
          <w:rFonts w:hint="eastAsia" w:ascii="宋体" w:hAnsi="宋体" w:cs="宋体"/>
          <w:color w:val="auto"/>
          <w:position w:val="8"/>
          <w:sz w:val="21"/>
          <w:szCs w:val="21"/>
          <w:highlight w:val="none"/>
        </w:rPr>
        <w:t xml:space="preserve"> </w:t>
      </w:r>
      <w:r>
        <w:rPr>
          <w:rFonts w:hint="eastAsia" w:ascii="宋体" w:hAnsi="宋体" w:cs="宋体"/>
          <w:color w:val="auto"/>
          <w:position w:val="8"/>
          <w:sz w:val="21"/>
          <w:szCs w:val="21"/>
          <w:highlight w:val="none"/>
        </w:rPr>
        <w:tab/>
      </w:r>
      <w:r>
        <w:rPr>
          <w:rFonts w:ascii="宋体" w:hAnsi="宋体" w:cs="宋体"/>
          <w:color w:val="auto"/>
          <w:sz w:val="21"/>
          <w:szCs w:val="21"/>
          <w:highlight w:val="none"/>
        </w:rPr>
        <mc:AlternateContent>
          <mc:Choice Requires="wps">
            <w:drawing>
              <wp:inline distT="0" distB="0" distL="114300" distR="114300">
                <wp:extent cx="2825750" cy="2082165"/>
                <wp:effectExtent l="0" t="0" r="12700" b="13335"/>
                <wp:docPr id="5" name="文本框 87"/>
                <wp:cNvGraphicFramePr/>
                <a:graphic xmlns:a="http://schemas.openxmlformats.org/drawingml/2006/main">
                  <a:graphicData uri="http://schemas.microsoft.com/office/word/2010/wordprocessingShape">
                    <wps:wsp>
                      <wps:cNvSpPr txBox="1"/>
                      <wps:spPr>
                        <a:xfrm>
                          <a:off x="0" y="0"/>
                          <a:ext cx="2826327" cy="2082165"/>
                        </a:xfrm>
                        <a:prstGeom prst="rect">
                          <a:avLst/>
                        </a:prstGeom>
                        <a:noFill/>
                        <a:ln w="9525" cap="flat" cmpd="sng">
                          <a:solidFill>
                            <a:srgbClr val="000000"/>
                          </a:solidFill>
                          <a:prstDash val="solid"/>
                          <a:miter/>
                          <a:headEnd type="none" w="med" len="med"/>
                          <a:tailEnd type="none" w="med" len="med"/>
                        </a:ln>
                        <a:effectLst/>
                      </wps:spPr>
                      <wps:txbx>
                        <w:txbxContent>
                          <w:p>
                            <w:pPr>
                              <w:pStyle w:val="6"/>
                              <w:kinsoku w:val="0"/>
                              <w:overflowPunct w:val="0"/>
                              <w:spacing w:before="58"/>
                              <w:ind w:left="145"/>
                              <w:jc w:val="center"/>
                              <w:rPr>
                                <w:spacing w:val="-2"/>
                                <w:sz w:val="21"/>
                              </w:rPr>
                            </w:pPr>
                          </w:p>
                          <w:p>
                            <w:pPr>
                              <w:pStyle w:val="6"/>
                              <w:kinsoku w:val="0"/>
                              <w:overflowPunct w:val="0"/>
                              <w:spacing w:before="58"/>
                              <w:ind w:left="145"/>
                              <w:jc w:val="center"/>
                              <w:rPr>
                                <w:spacing w:val="-2"/>
                                <w:sz w:val="21"/>
                              </w:rPr>
                            </w:pPr>
                          </w:p>
                          <w:p>
                            <w:pPr>
                              <w:pStyle w:val="6"/>
                              <w:kinsoku w:val="0"/>
                              <w:overflowPunct w:val="0"/>
                              <w:spacing w:before="58"/>
                              <w:ind w:left="145"/>
                              <w:jc w:val="center"/>
                              <w:rPr>
                                <w:spacing w:val="-2"/>
                                <w:sz w:val="21"/>
                              </w:rPr>
                            </w:pPr>
                          </w:p>
                          <w:p>
                            <w:pPr>
                              <w:pStyle w:val="6"/>
                              <w:kinsoku w:val="0"/>
                              <w:overflowPunct w:val="0"/>
                              <w:spacing w:before="58"/>
                              <w:ind w:left="145"/>
                              <w:jc w:val="center"/>
                              <w:rPr>
                                <w:spacing w:val="-2"/>
                                <w:sz w:val="21"/>
                              </w:rPr>
                            </w:pPr>
                            <w:r>
                              <w:rPr>
                                <w:rFonts w:hint="eastAsia"/>
                                <w:spacing w:val="-2"/>
                                <w:sz w:val="21"/>
                              </w:rPr>
                              <w:t>法定代表人身份证（人像面）</w:t>
                            </w:r>
                          </w:p>
                        </w:txbxContent>
                      </wps:txbx>
                      <wps:bodyPr lIns="0" tIns="0" rIns="0" bIns="0" upright="1"/>
                    </wps:wsp>
                  </a:graphicData>
                </a:graphic>
              </wp:inline>
            </w:drawing>
          </mc:Choice>
          <mc:Fallback>
            <w:pict>
              <v:shape id="文本框 87" o:spid="_x0000_s1026" o:spt="202" type="#_x0000_t202" style="height:163.95pt;width:222.5pt;" filled="f" stroked="t" coordsize="21600,21600" o:gfxdata="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Dezc+1gAAAAUBAAAP&#10;AAAAAAAAAAEAIAAAACIAAABkcnMvZG93bnJldi54bWxQSwECFAAUAAAACACHTuJAfom78xoCAABB&#10;BAAADgAAAAAAAAABACAAAAAlAQAAZHJzL2Uyb0RvYy54bWxQSwUGAAAAAAYABgBZAQAAsQUAAAAA&#10;">
                <v:fill on="f" focussize="0,0"/>
                <v:stroke color="#000000" joinstyle="miter"/>
                <v:imagedata o:title=""/>
                <o:lock v:ext="edit" aspectratio="f"/>
                <v:textbox inset="0mm,0mm,0mm,0mm">
                  <w:txbxContent>
                    <w:p>
                      <w:pPr>
                        <w:pStyle w:val="6"/>
                        <w:kinsoku w:val="0"/>
                        <w:overflowPunct w:val="0"/>
                        <w:spacing w:before="58"/>
                        <w:ind w:left="145"/>
                        <w:jc w:val="center"/>
                        <w:rPr>
                          <w:spacing w:val="-2"/>
                          <w:sz w:val="21"/>
                        </w:rPr>
                      </w:pPr>
                    </w:p>
                    <w:p>
                      <w:pPr>
                        <w:pStyle w:val="6"/>
                        <w:kinsoku w:val="0"/>
                        <w:overflowPunct w:val="0"/>
                        <w:spacing w:before="58"/>
                        <w:ind w:left="145"/>
                        <w:jc w:val="center"/>
                        <w:rPr>
                          <w:spacing w:val="-2"/>
                          <w:sz w:val="21"/>
                        </w:rPr>
                      </w:pPr>
                    </w:p>
                    <w:p>
                      <w:pPr>
                        <w:pStyle w:val="6"/>
                        <w:kinsoku w:val="0"/>
                        <w:overflowPunct w:val="0"/>
                        <w:spacing w:before="58"/>
                        <w:ind w:left="145"/>
                        <w:jc w:val="center"/>
                        <w:rPr>
                          <w:spacing w:val="-2"/>
                          <w:sz w:val="21"/>
                        </w:rPr>
                      </w:pPr>
                    </w:p>
                    <w:p>
                      <w:pPr>
                        <w:pStyle w:val="6"/>
                        <w:kinsoku w:val="0"/>
                        <w:overflowPunct w:val="0"/>
                        <w:spacing w:before="58"/>
                        <w:ind w:left="145"/>
                        <w:jc w:val="center"/>
                        <w:rPr>
                          <w:spacing w:val="-2"/>
                          <w:sz w:val="21"/>
                        </w:rPr>
                      </w:pPr>
                      <w:r>
                        <w:rPr>
                          <w:rFonts w:hint="eastAsia"/>
                          <w:spacing w:val="-2"/>
                          <w:sz w:val="21"/>
                        </w:rPr>
                        <w:t>法定代表人身份证（人像面）</w:t>
                      </w:r>
                    </w:p>
                  </w:txbxContent>
                </v:textbox>
                <w10:wrap type="none"/>
                <w10:anchorlock/>
              </v:shape>
            </w:pict>
          </mc:Fallback>
        </mc:AlternateContent>
      </w:r>
    </w:p>
    <w:p>
      <w:pPr>
        <w:spacing w:line="360" w:lineRule="auto"/>
        <w:rPr>
          <w:rFonts w:ascii="宋体" w:hAnsi="宋体" w:cs="宋体"/>
          <w:b/>
          <w:bCs/>
          <w:color w:val="auto"/>
          <w:highlight w:val="none"/>
        </w:rPr>
      </w:pP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w:t>
      </w:r>
    </w:p>
    <w:p>
      <w:pPr>
        <w:spacing w:line="360" w:lineRule="auto"/>
        <w:ind w:firstLine="4515" w:firstLineChars="2150"/>
        <w:rPr>
          <w:rFonts w:ascii="宋体" w:hAnsi="宋体" w:cs="宋体"/>
          <w:color w:val="auto"/>
          <w:sz w:val="21"/>
          <w:szCs w:val="21"/>
          <w:highlight w:val="none"/>
        </w:rPr>
      </w:pPr>
      <w:r>
        <w:rPr>
          <w:rFonts w:hint="eastAsia" w:ascii="宋体" w:hAnsi="宋体" w:cs="宋体"/>
          <w:color w:val="auto"/>
          <w:sz w:val="21"/>
          <w:szCs w:val="21"/>
          <w:highlight w:val="none"/>
        </w:rPr>
        <w:t>投标人名称：（盖公章）：</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地址：</w:t>
      </w:r>
    </w:p>
    <w:p>
      <w:pPr>
        <w:spacing w:line="360" w:lineRule="auto"/>
        <w:rPr>
          <w:rFonts w:ascii="宋体" w:hAnsi="宋体" w:cs="宋体"/>
          <w:b/>
          <w:bCs/>
          <w:color w:val="auto"/>
          <w:sz w:val="21"/>
          <w:szCs w:val="21"/>
          <w:highlight w:val="none"/>
        </w:rPr>
      </w:pPr>
      <w:r>
        <w:rPr>
          <w:rFonts w:hint="eastAsia" w:ascii="宋体" w:hAnsi="宋体" w:cs="宋体"/>
          <w:color w:val="auto"/>
          <w:sz w:val="21"/>
          <w:szCs w:val="21"/>
          <w:highlight w:val="none"/>
        </w:rPr>
        <w:t xml:space="preserve">                                           日期：</w:t>
      </w:r>
    </w:p>
    <w:p>
      <w:pPr>
        <w:snapToGrid w:val="0"/>
        <w:spacing w:line="360" w:lineRule="auto"/>
        <w:ind w:firstLine="412" w:firstLineChars="206"/>
        <w:rPr>
          <w:rFonts w:ascii="宋体" w:hAnsi="宋体" w:cs="宋体"/>
          <w:color w:val="auto"/>
          <w:highlight w:val="none"/>
          <w:u w:val="single"/>
        </w:rPr>
      </w:pPr>
    </w:p>
    <w:p>
      <w:pPr>
        <w:snapToGrid w:val="0"/>
        <w:spacing w:line="360" w:lineRule="auto"/>
        <w:ind w:firstLine="412" w:firstLineChars="206"/>
        <w:rPr>
          <w:rFonts w:ascii="宋体" w:hAnsi="宋体" w:cs="宋体"/>
          <w:color w:val="auto"/>
          <w:highlight w:val="none"/>
          <w:u w:val="singl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2"/>
        <w:rPr>
          <w:color w:val="auto"/>
          <w:highlight w:val="none"/>
        </w:rPr>
      </w:pPr>
    </w:p>
    <w:p>
      <w:pPr>
        <w:rPr>
          <w:rFonts w:ascii="宋体" w:hAnsi="宋体" w:cs="宋体"/>
          <w:color w:val="auto"/>
          <w:highlight w:val="none"/>
        </w:rPr>
      </w:pPr>
    </w:p>
    <w:p>
      <w:pPr>
        <w:pStyle w:val="2"/>
        <w:adjustRightInd w:val="0"/>
        <w:snapToGrid w:val="0"/>
        <w:spacing w:before="156" w:beforeLines="50" w:after="156" w:afterLines="50" w:line="360" w:lineRule="auto"/>
        <w:jc w:val="center"/>
        <w:rPr>
          <w:rFonts w:ascii="宋体" w:hAnsi="宋体" w:eastAsia="宋体" w:cs="宋体"/>
          <w:b w:val="0"/>
          <w:color w:val="auto"/>
          <w:kern w:val="0"/>
          <w:highlight w:val="none"/>
        </w:rPr>
      </w:pPr>
      <w:r>
        <w:rPr>
          <w:rFonts w:hint="eastAsia" w:ascii="宋体" w:hAnsi="宋体" w:eastAsia="宋体" w:cs="宋体"/>
          <w:b w:val="0"/>
          <w:color w:val="auto"/>
          <w:kern w:val="0"/>
          <w:highlight w:val="none"/>
        </w:rPr>
        <w:t>（六）实质性条款响应一览表</w:t>
      </w:r>
    </w:p>
    <w:p>
      <w:pPr>
        <w:spacing w:line="360" w:lineRule="auto"/>
        <w:ind w:left="945" w:leftChars="105" w:hanging="735" w:hangingChars="350"/>
        <w:rPr>
          <w:rFonts w:ascii="宋体" w:hAnsi="宋体" w:cs="宋体"/>
          <w:color w:val="auto"/>
          <w:sz w:val="21"/>
          <w:szCs w:val="21"/>
          <w:highlight w:val="none"/>
        </w:rPr>
      </w:pPr>
      <w:r>
        <w:rPr>
          <w:rFonts w:hint="eastAsia" w:ascii="宋体" w:hAnsi="宋体" w:cs="宋体"/>
          <w:color w:val="auto"/>
          <w:sz w:val="21"/>
          <w:szCs w:val="21"/>
          <w:highlight w:val="none"/>
        </w:rPr>
        <w:t>说明：投标人必须对应招标文件带“</w:t>
      </w:r>
      <w:r>
        <w:rPr>
          <w:rFonts w:hint="eastAsia" w:ascii="宋体" w:hAnsi="宋体" w:cs="宋体"/>
          <w:b/>
          <w:bCs/>
          <w:color w:val="auto"/>
          <w:sz w:val="21"/>
          <w:szCs w:val="21"/>
          <w:highlight w:val="none"/>
        </w:rPr>
        <w:t>★</w:t>
      </w:r>
      <w:r>
        <w:rPr>
          <w:rFonts w:hint="eastAsia" w:ascii="宋体" w:hAnsi="宋体" w:cs="宋体"/>
          <w:color w:val="auto"/>
          <w:sz w:val="21"/>
          <w:szCs w:val="21"/>
          <w:highlight w:val="none"/>
        </w:rPr>
        <w:t>”的实质性条款逐条应答并按要求填写下表。</w:t>
      </w:r>
    </w:p>
    <w:p>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 xml:space="preserve">项目名称：中山市火炬科学技术学校小卖部承包经营项目                                         </w:t>
      </w:r>
    </w:p>
    <w:p>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项目编号：FH2022CG0113</w:t>
      </w:r>
    </w:p>
    <w:tbl>
      <w:tblPr>
        <w:tblStyle w:val="2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530"/>
        <w:gridCol w:w="2531"/>
        <w:gridCol w:w="200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shd w:val="clear" w:color="auto" w:fill="EEECE1"/>
            <w:vAlign w:val="center"/>
          </w:tcPr>
          <w:p>
            <w:pPr>
              <w:ind w:left="-86" w:leftChars="-43" w:right="-98" w:rightChars="-49"/>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2530" w:type="dxa"/>
            <w:shd w:val="clear" w:color="auto" w:fill="EEECE1"/>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招标文件★号条款描述</w:t>
            </w:r>
          </w:p>
        </w:tc>
        <w:tc>
          <w:tcPr>
            <w:tcW w:w="2531" w:type="dxa"/>
            <w:shd w:val="clear" w:color="auto" w:fill="EEECE1"/>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投标人响应描述</w:t>
            </w:r>
          </w:p>
        </w:tc>
        <w:tc>
          <w:tcPr>
            <w:tcW w:w="2003" w:type="dxa"/>
            <w:shd w:val="clear" w:color="auto" w:fill="EEECE1"/>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偏离情况说明</w:t>
            </w:r>
          </w:p>
          <w:p>
            <w:pPr>
              <w:jc w:val="center"/>
              <w:rPr>
                <w:rFonts w:ascii="宋体" w:hAnsi="宋体" w:cs="宋体"/>
                <w:color w:val="auto"/>
                <w:sz w:val="21"/>
                <w:szCs w:val="21"/>
                <w:highlight w:val="none"/>
              </w:rPr>
            </w:pPr>
            <w:r>
              <w:rPr>
                <w:rFonts w:hint="eastAsia" w:ascii="宋体" w:hAnsi="宋体" w:cs="宋体"/>
                <w:color w:val="auto"/>
                <w:sz w:val="21"/>
                <w:szCs w:val="21"/>
                <w:highlight w:val="none"/>
              </w:rPr>
              <w:t>（正偏离/完全响应/负偏离）</w:t>
            </w:r>
          </w:p>
        </w:tc>
        <w:tc>
          <w:tcPr>
            <w:tcW w:w="1440" w:type="dxa"/>
            <w:shd w:val="clear" w:color="auto" w:fill="EEECE1"/>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查阅/证明文件指引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numPr>
                <w:ilvl w:val="0"/>
                <w:numId w:val="44"/>
              </w:numPr>
              <w:autoSpaceDE/>
              <w:autoSpaceDN/>
              <w:adjustRightInd/>
              <w:jc w:val="center"/>
              <w:rPr>
                <w:rFonts w:ascii="宋体" w:hAnsi="宋体" w:cs="宋体"/>
                <w:color w:val="auto"/>
                <w:sz w:val="21"/>
                <w:szCs w:val="21"/>
                <w:highlight w:val="none"/>
              </w:rPr>
            </w:pPr>
          </w:p>
        </w:tc>
        <w:tc>
          <w:tcPr>
            <w:tcW w:w="2530" w:type="dxa"/>
            <w:vAlign w:val="center"/>
          </w:tcPr>
          <w:p>
            <w:pPr>
              <w:rPr>
                <w:rFonts w:ascii="宋体" w:hAnsi="宋体" w:cs="宋体"/>
                <w:color w:val="auto"/>
                <w:sz w:val="21"/>
                <w:szCs w:val="21"/>
                <w:highlight w:val="none"/>
              </w:rPr>
            </w:pPr>
          </w:p>
        </w:tc>
        <w:tc>
          <w:tcPr>
            <w:tcW w:w="2531" w:type="dxa"/>
            <w:vAlign w:val="center"/>
          </w:tcPr>
          <w:p>
            <w:pPr>
              <w:jc w:val="center"/>
              <w:rPr>
                <w:rFonts w:ascii="宋体" w:hAnsi="宋体" w:cs="宋体"/>
                <w:color w:val="auto"/>
                <w:sz w:val="21"/>
                <w:szCs w:val="21"/>
                <w:highlight w:val="none"/>
              </w:rPr>
            </w:pPr>
          </w:p>
        </w:tc>
        <w:tc>
          <w:tcPr>
            <w:tcW w:w="2003" w:type="dxa"/>
            <w:vAlign w:val="center"/>
          </w:tcPr>
          <w:p>
            <w:pPr>
              <w:jc w:val="center"/>
              <w:rPr>
                <w:rFonts w:ascii="宋体" w:hAnsi="宋体" w:cs="宋体"/>
                <w:color w:val="auto"/>
                <w:sz w:val="21"/>
                <w:szCs w:val="21"/>
                <w:highlight w:val="none"/>
              </w:rPr>
            </w:pPr>
          </w:p>
        </w:tc>
        <w:tc>
          <w:tcPr>
            <w:tcW w:w="144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96" w:type="dxa"/>
            <w:vAlign w:val="center"/>
          </w:tcPr>
          <w:p>
            <w:pPr>
              <w:numPr>
                <w:ilvl w:val="0"/>
                <w:numId w:val="44"/>
              </w:numPr>
              <w:autoSpaceDE/>
              <w:autoSpaceDN/>
              <w:adjustRightInd/>
              <w:jc w:val="center"/>
              <w:rPr>
                <w:rFonts w:ascii="宋体" w:hAnsi="宋体" w:cs="宋体"/>
                <w:color w:val="auto"/>
                <w:sz w:val="21"/>
                <w:szCs w:val="21"/>
                <w:highlight w:val="none"/>
              </w:rPr>
            </w:pPr>
          </w:p>
        </w:tc>
        <w:tc>
          <w:tcPr>
            <w:tcW w:w="2530" w:type="dxa"/>
            <w:vAlign w:val="center"/>
          </w:tcPr>
          <w:p>
            <w:pPr>
              <w:rPr>
                <w:rFonts w:ascii="宋体" w:hAnsi="宋体" w:cs="宋体"/>
                <w:color w:val="auto"/>
                <w:sz w:val="21"/>
                <w:szCs w:val="21"/>
                <w:highlight w:val="none"/>
              </w:rPr>
            </w:pPr>
          </w:p>
        </w:tc>
        <w:tc>
          <w:tcPr>
            <w:tcW w:w="2531" w:type="dxa"/>
            <w:vAlign w:val="center"/>
          </w:tcPr>
          <w:p>
            <w:pPr>
              <w:jc w:val="center"/>
              <w:rPr>
                <w:rFonts w:ascii="宋体" w:hAnsi="宋体" w:cs="宋体"/>
                <w:color w:val="auto"/>
                <w:sz w:val="21"/>
                <w:szCs w:val="21"/>
                <w:highlight w:val="none"/>
              </w:rPr>
            </w:pPr>
          </w:p>
        </w:tc>
        <w:tc>
          <w:tcPr>
            <w:tcW w:w="2003" w:type="dxa"/>
            <w:vAlign w:val="center"/>
          </w:tcPr>
          <w:p>
            <w:pPr>
              <w:jc w:val="center"/>
              <w:rPr>
                <w:rFonts w:ascii="宋体" w:hAnsi="宋体" w:cs="宋体"/>
                <w:color w:val="auto"/>
                <w:sz w:val="21"/>
                <w:szCs w:val="21"/>
                <w:highlight w:val="none"/>
              </w:rPr>
            </w:pPr>
          </w:p>
        </w:tc>
        <w:tc>
          <w:tcPr>
            <w:tcW w:w="144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numPr>
                <w:ilvl w:val="0"/>
                <w:numId w:val="44"/>
              </w:numPr>
              <w:autoSpaceDE/>
              <w:autoSpaceDN/>
              <w:adjustRightInd/>
              <w:jc w:val="center"/>
              <w:rPr>
                <w:rFonts w:ascii="宋体" w:hAnsi="宋体" w:cs="宋体"/>
                <w:color w:val="auto"/>
                <w:sz w:val="21"/>
                <w:szCs w:val="21"/>
                <w:highlight w:val="none"/>
              </w:rPr>
            </w:pPr>
          </w:p>
        </w:tc>
        <w:tc>
          <w:tcPr>
            <w:tcW w:w="2530" w:type="dxa"/>
            <w:vAlign w:val="center"/>
          </w:tcPr>
          <w:p>
            <w:pPr>
              <w:spacing w:line="400" w:lineRule="exact"/>
              <w:rPr>
                <w:rFonts w:ascii="宋体" w:hAnsi="宋体" w:cs="宋体"/>
                <w:color w:val="auto"/>
                <w:sz w:val="21"/>
                <w:szCs w:val="21"/>
                <w:highlight w:val="none"/>
              </w:rPr>
            </w:pPr>
          </w:p>
        </w:tc>
        <w:tc>
          <w:tcPr>
            <w:tcW w:w="2531" w:type="dxa"/>
            <w:vAlign w:val="center"/>
          </w:tcPr>
          <w:p>
            <w:pPr>
              <w:spacing w:line="400" w:lineRule="exact"/>
              <w:jc w:val="center"/>
              <w:rPr>
                <w:rFonts w:ascii="宋体" w:hAnsi="宋体" w:cs="宋体"/>
                <w:color w:val="auto"/>
                <w:sz w:val="21"/>
                <w:szCs w:val="21"/>
                <w:highlight w:val="none"/>
              </w:rPr>
            </w:pPr>
          </w:p>
        </w:tc>
        <w:tc>
          <w:tcPr>
            <w:tcW w:w="2003" w:type="dxa"/>
            <w:vAlign w:val="center"/>
          </w:tcPr>
          <w:p>
            <w:pPr>
              <w:spacing w:line="400" w:lineRule="exact"/>
              <w:jc w:val="center"/>
              <w:rPr>
                <w:rFonts w:ascii="宋体" w:hAnsi="宋体" w:cs="宋体"/>
                <w:color w:val="auto"/>
                <w:sz w:val="21"/>
                <w:szCs w:val="21"/>
                <w:highlight w:val="none"/>
              </w:rPr>
            </w:pPr>
          </w:p>
        </w:tc>
        <w:tc>
          <w:tcPr>
            <w:tcW w:w="1440" w:type="dxa"/>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numPr>
                <w:ilvl w:val="0"/>
                <w:numId w:val="44"/>
              </w:numPr>
              <w:autoSpaceDE/>
              <w:autoSpaceDN/>
              <w:adjustRightInd/>
              <w:jc w:val="center"/>
              <w:rPr>
                <w:rFonts w:ascii="宋体" w:hAnsi="宋体" w:cs="宋体"/>
                <w:color w:val="auto"/>
                <w:sz w:val="21"/>
                <w:szCs w:val="21"/>
                <w:highlight w:val="none"/>
              </w:rPr>
            </w:pPr>
          </w:p>
        </w:tc>
        <w:tc>
          <w:tcPr>
            <w:tcW w:w="2530" w:type="dxa"/>
            <w:vAlign w:val="center"/>
          </w:tcPr>
          <w:p>
            <w:pPr>
              <w:spacing w:line="400" w:lineRule="exact"/>
              <w:rPr>
                <w:rFonts w:ascii="宋体" w:hAnsi="宋体" w:cs="宋体"/>
                <w:color w:val="auto"/>
                <w:sz w:val="21"/>
                <w:szCs w:val="21"/>
                <w:highlight w:val="none"/>
              </w:rPr>
            </w:pPr>
          </w:p>
        </w:tc>
        <w:tc>
          <w:tcPr>
            <w:tcW w:w="2531" w:type="dxa"/>
            <w:vAlign w:val="center"/>
          </w:tcPr>
          <w:p>
            <w:pPr>
              <w:spacing w:line="400" w:lineRule="exact"/>
              <w:jc w:val="center"/>
              <w:rPr>
                <w:rFonts w:ascii="宋体" w:hAnsi="宋体" w:cs="宋体"/>
                <w:color w:val="auto"/>
                <w:sz w:val="21"/>
                <w:szCs w:val="21"/>
                <w:highlight w:val="none"/>
              </w:rPr>
            </w:pPr>
          </w:p>
        </w:tc>
        <w:tc>
          <w:tcPr>
            <w:tcW w:w="2003" w:type="dxa"/>
            <w:vAlign w:val="center"/>
          </w:tcPr>
          <w:p>
            <w:pPr>
              <w:spacing w:line="400" w:lineRule="exact"/>
              <w:jc w:val="center"/>
              <w:rPr>
                <w:rFonts w:ascii="宋体" w:hAnsi="宋体" w:cs="宋体"/>
                <w:color w:val="auto"/>
                <w:sz w:val="21"/>
                <w:szCs w:val="21"/>
                <w:highlight w:val="none"/>
              </w:rPr>
            </w:pPr>
          </w:p>
        </w:tc>
        <w:tc>
          <w:tcPr>
            <w:tcW w:w="1440" w:type="dxa"/>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numPr>
                <w:ilvl w:val="0"/>
                <w:numId w:val="44"/>
              </w:numPr>
              <w:autoSpaceDE/>
              <w:autoSpaceDN/>
              <w:adjustRightInd/>
              <w:jc w:val="center"/>
              <w:rPr>
                <w:rFonts w:ascii="宋体" w:hAnsi="宋体" w:cs="宋体"/>
                <w:color w:val="auto"/>
                <w:sz w:val="21"/>
                <w:szCs w:val="21"/>
                <w:highlight w:val="none"/>
              </w:rPr>
            </w:pPr>
          </w:p>
        </w:tc>
        <w:tc>
          <w:tcPr>
            <w:tcW w:w="2530" w:type="dxa"/>
            <w:vAlign w:val="center"/>
          </w:tcPr>
          <w:p>
            <w:pPr>
              <w:spacing w:line="400" w:lineRule="exact"/>
              <w:rPr>
                <w:rFonts w:ascii="宋体" w:hAnsi="宋体" w:cs="宋体"/>
                <w:color w:val="auto"/>
                <w:sz w:val="21"/>
                <w:szCs w:val="21"/>
                <w:highlight w:val="none"/>
              </w:rPr>
            </w:pPr>
          </w:p>
        </w:tc>
        <w:tc>
          <w:tcPr>
            <w:tcW w:w="2531" w:type="dxa"/>
            <w:vAlign w:val="center"/>
          </w:tcPr>
          <w:p>
            <w:pPr>
              <w:spacing w:line="400" w:lineRule="exact"/>
              <w:jc w:val="center"/>
              <w:rPr>
                <w:rFonts w:ascii="宋体" w:hAnsi="宋体" w:cs="宋体"/>
                <w:color w:val="auto"/>
                <w:sz w:val="21"/>
                <w:szCs w:val="21"/>
                <w:highlight w:val="none"/>
              </w:rPr>
            </w:pPr>
          </w:p>
        </w:tc>
        <w:tc>
          <w:tcPr>
            <w:tcW w:w="2003" w:type="dxa"/>
            <w:vAlign w:val="center"/>
          </w:tcPr>
          <w:p>
            <w:pPr>
              <w:spacing w:line="400" w:lineRule="exact"/>
              <w:jc w:val="center"/>
              <w:rPr>
                <w:rFonts w:ascii="宋体" w:hAnsi="宋体" w:cs="宋体"/>
                <w:color w:val="auto"/>
                <w:sz w:val="21"/>
                <w:szCs w:val="21"/>
                <w:highlight w:val="none"/>
              </w:rPr>
            </w:pPr>
          </w:p>
        </w:tc>
        <w:tc>
          <w:tcPr>
            <w:tcW w:w="1440" w:type="dxa"/>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numPr>
                <w:ilvl w:val="0"/>
                <w:numId w:val="44"/>
              </w:numPr>
              <w:autoSpaceDE/>
              <w:autoSpaceDN/>
              <w:adjustRightInd/>
              <w:jc w:val="center"/>
              <w:rPr>
                <w:rFonts w:ascii="宋体" w:hAnsi="宋体" w:cs="宋体"/>
                <w:color w:val="auto"/>
                <w:sz w:val="21"/>
                <w:szCs w:val="21"/>
                <w:highlight w:val="none"/>
              </w:rPr>
            </w:pPr>
          </w:p>
        </w:tc>
        <w:tc>
          <w:tcPr>
            <w:tcW w:w="2530" w:type="dxa"/>
            <w:vAlign w:val="center"/>
          </w:tcPr>
          <w:p>
            <w:pPr>
              <w:spacing w:line="400" w:lineRule="exact"/>
              <w:rPr>
                <w:rFonts w:ascii="宋体" w:hAnsi="宋体" w:cs="宋体"/>
                <w:color w:val="auto"/>
                <w:sz w:val="21"/>
                <w:szCs w:val="21"/>
                <w:highlight w:val="none"/>
              </w:rPr>
            </w:pPr>
          </w:p>
        </w:tc>
        <w:tc>
          <w:tcPr>
            <w:tcW w:w="2531" w:type="dxa"/>
            <w:vAlign w:val="center"/>
          </w:tcPr>
          <w:p>
            <w:pPr>
              <w:spacing w:line="400" w:lineRule="exact"/>
              <w:jc w:val="center"/>
              <w:rPr>
                <w:rFonts w:ascii="宋体" w:hAnsi="宋体" w:cs="宋体"/>
                <w:color w:val="auto"/>
                <w:sz w:val="21"/>
                <w:szCs w:val="21"/>
                <w:highlight w:val="none"/>
              </w:rPr>
            </w:pPr>
          </w:p>
        </w:tc>
        <w:tc>
          <w:tcPr>
            <w:tcW w:w="2003" w:type="dxa"/>
            <w:vAlign w:val="center"/>
          </w:tcPr>
          <w:p>
            <w:pPr>
              <w:spacing w:line="400" w:lineRule="exact"/>
              <w:jc w:val="center"/>
              <w:rPr>
                <w:rFonts w:ascii="宋体" w:hAnsi="宋体" w:cs="宋体"/>
                <w:color w:val="auto"/>
                <w:sz w:val="21"/>
                <w:szCs w:val="21"/>
                <w:highlight w:val="none"/>
              </w:rPr>
            </w:pPr>
          </w:p>
        </w:tc>
        <w:tc>
          <w:tcPr>
            <w:tcW w:w="1440" w:type="dxa"/>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numPr>
                <w:ilvl w:val="0"/>
                <w:numId w:val="44"/>
              </w:numPr>
              <w:autoSpaceDE/>
              <w:autoSpaceDN/>
              <w:adjustRightInd/>
              <w:jc w:val="center"/>
              <w:rPr>
                <w:rFonts w:ascii="宋体" w:hAnsi="宋体" w:cs="宋体"/>
                <w:color w:val="auto"/>
                <w:sz w:val="21"/>
                <w:szCs w:val="21"/>
                <w:highlight w:val="none"/>
              </w:rPr>
            </w:pPr>
          </w:p>
        </w:tc>
        <w:tc>
          <w:tcPr>
            <w:tcW w:w="2530" w:type="dxa"/>
            <w:vAlign w:val="center"/>
          </w:tcPr>
          <w:p>
            <w:pPr>
              <w:spacing w:line="400" w:lineRule="exact"/>
              <w:rPr>
                <w:rFonts w:ascii="宋体" w:hAnsi="宋体" w:cs="宋体"/>
                <w:color w:val="auto"/>
                <w:sz w:val="21"/>
                <w:szCs w:val="21"/>
                <w:highlight w:val="none"/>
              </w:rPr>
            </w:pPr>
          </w:p>
        </w:tc>
        <w:tc>
          <w:tcPr>
            <w:tcW w:w="2531" w:type="dxa"/>
            <w:vAlign w:val="center"/>
          </w:tcPr>
          <w:p>
            <w:pPr>
              <w:spacing w:line="400" w:lineRule="exact"/>
              <w:jc w:val="center"/>
              <w:rPr>
                <w:rFonts w:ascii="宋体" w:hAnsi="宋体" w:cs="宋体"/>
                <w:color w:val="auto"/>
                <w:sz w:val="21"/>
                <w:szCs w:val="21"/>
                <w:highlight w:val="none"/>
              </w:rPr>
            </w:pPr>
          </w:p>
        </w:tc>
        <w:tc>
          <w:tcPr>
            <w:tcW w:w="2003" w:type="dxa"/>
            <w:vAlign w:val="center"/>
          </w:tcPr>
          <w:p>
            <w:pPr>
              <w:spacing w:line="400" w:lineRule="exact"/>
              <w:jc w:val="center"/>
              <w:rPr>
                <w:rFonts w:ascii="宋体" w:hAnsi="宋体" w:cs="宋体"/>
                <w:color w:val="auto"/>
                <w:sz w:val="21"/>
                <w:szCs w:val="21"/>
                <w:highlight w:val="none"/>
              </w:rPr>
            </w:pPr>
          </w:p>
        </w:tc>
        <w:tc>
          <w:tcPr>
            <w:tcW w:w="1440" w:type="dxa"/>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numPr>
                <w:ilvl w:val="0"/>
                <w:numId w:val="44"/>
              </w:numPr>
              <w:autoSpaceDE/>
              <w:autoSpaceDN/>
              <w:adjustRightInd/>
              <w:jc w:val="center"/>
              <w:rPr>
                <w:rFonts w:ascii="宋体" w:hAnsi="宋体" w:cs="宋体"/>
                <w:color w:val="auto"/>
                <w:sz w:val="21"/>
                <w:szCs w:val="21"/>
                <w:highlight w:val="none"/>
              </w:rPr>
            </w:pPr>
          </w:p>
        </w:tc>
        <w:tc>
          <w:tcPr>
            <w:tcW w:w="2530" w:type="dxa"/>
            <w:vAlign w:val="center"/>
          </w:tcPr>
          <w:p>
            <w:pPr>
              <w:spacing w:line="400" w:lineRule="exact"/>
              <w:rPr>
                <w:rFonts w:ascii="宋体" w:hAnsi="宋体" w:cs="宋体"/>
                <w:color w:val="auto"/>
                <w:sz w:val="21"/>
                <w:szCs w:val="21"/>
                <w:highlight w:val="none"/>
              </w:rPr>
            </w:pPr>
          </w:p>
        </w:tc>
        <w:tc>
          <w:tcPr>
            <w:tcW w:w="2531" w:type="dxa"/>
            <w:vAlign w:val="center"/>
          </w:tcPr>
          <w:p>
            <w:pPr>
              <w:spacing w:line="400" w:lineRule="exact"/>
              <w:jc w:val="center"/>
              <w:rPr>
                <w:rFonts w:ascii="宋体" w:hAnsi="宋体" w:cs="宋体"/>
                <w:color w:val="auto"/>
                <w:sz w:val="21"/>
                <w:szCs w:val="21"/>
                <w:highlight w:val="none"/>
              </w:rPr>
            </w:pPr>
          </w:p>
        </w:tc>
        <w:tc>
          <w:tcPr>
            <w:tcW w:w="2003" w:type="dxa"/>
            <w:vAlign w:val="center"/>
          </w:tcPr>
          <w:p>
            <w:pPr>
              <w:spacing w:line="400" w:lineRule="exact"/>
              <w:jc w:val="center"/>
              <w:rPr>
                <w:rFonts w:ascii="宋体" w:hAnsi="宋体" w:cs="宋体"/>
                <w:color w:val="auto"/>
                <w:sz w:val="21"/>
                <w:szCs w:val="21"/>
                <w:highlight w:val="none"/>
              </w:rPr>
            </w:pPr>
          </w:p>
        </w:tc>
        <w:tc>
          <w:tcPr>
            <w:tcW w:w="1440" w:type="dxa"/>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numPr>
                <w:ilvl w:val="0"/>
                <w:numId w:val="44"/>
              </w:numPr>
              <w:autoSpaceDE/>
              <w:autoSpaceDN/>
              <w:adjustRightInd/>
              <w:jc w:val="center"/>
              <w:rPr>
                <w:rFonts w:ascii="宋体" w:hAnsi="宋体" w:cs="宋体"/>
                <w:color w:val="auto"/>
                <w:sz w:val="21"/>
                <w:szCs w:val="21"/>
                <w:highlight w:val="none"/>
              </w:rPr>
            </w:pPr>
          </w:p>
        </w:tc>
        <w:tc>
          <w:tcPr>
            <w:tcW w:w="2530" w:type="dxa"/>
            <w:vAlign w:val="center"/>
          </w:tcPr>
          <w:p>
            <w:pPr>
              <w:spacing w:line="400" w:lineRule="exact"/>
              <w:rPr>
                <w:rFonts w:ascii="宋体" w:hAnsi="宋体" w:cs="宋体"/>
                <w:color w:val="auto"/>
                <w:sz w:val="21"/>
                <w:szCs w:val="21"/>
                <w:highlight w:val="none"/>
              </w:rPr>
            </w:pPr>
          </w:p>
        </w:tc>
        <w:tc>
          <w:tcPr>
            <w:tcW w:w="2531" w:type="dxa"/>
            <w:vAlign w:val="center"/>
          </w:tcPr>
          <w:p>
            <w:pPr>
              <w:spacing w:line="400" w:lineRule="exact"/>
              <w:jc w:val="center"/>
              <w:rPr>
                <w:rFonts w:ascii="宋体" w:hAnsi="宋体" w:cs="宋体"/>
                <w:color w:val="auto"/>
                <w:sz w:val="21"/>
                <w:szCs w:val="21"/>
                <w:highlight w:val="none"/>
              </w:rPr>
            </w:pPr>
          </w:p>
        </w:tc>
        <w:tc>
          <w:tcPr>
            <w:tcW w:w="2003" w:type="dxa"/>
            <w:vAlign w:val="center"/>
          </w:tcPr>
          <w:p>
            <w:pPr>
              <w:spacing w:line="400" w:lineRule="exact"/>
              <w:jc w:val="center"/>
              <w:rPr>
                <w:rFonts w:ascii="宋体" w:hAnsi="宋体" w:cs="宋体"/>
                <w:color w:val="auto"/>
                <w:sz w:val="21"/>
                <w:szCs w:val="21"/>
                <w:highlight w:val="none"/>
              </w:rPr>
            </w:pPr>
          </w:p>
        </w:tc>
        <w:tc>
          <w:tcPr>
            <w:tcW w:w="1440" w:type="dxa"/>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numPr>
                <w:ilvl w:val="0"/>
                <w:numId w:val="44"/>
              </w:numPr>
              <w:autoSpaceDE/>
              <w:autoSpaceDN/>
              <w:adjustRightInd/>
              <w:jc w:val="center"/>
              <w:rPr>
                <w:rFonts w:ascii="宋体" w:hAnsi="宋体" w:cs="宋体"/>
                <w:color w:val="auto"/>
                <w:sz w:val="21"/>
                <w:szCs w:val="21"/>
                <w:highlight w:val="none"/>
              </w:rPr>
            </w:pPr>
          </w:p>
        </w:tc>
        <w:tc>
          <w:tcPr>
            <w:tcW w:w="2530" w:type="dxa"/>
            <w:vAlign w:val="center"/>
          </w:tcPr>
          <w:p>
            <w:pPr>
              <w:spacing w:line="400" w:lineRule="exact"/>
              <w:rPr>
                <w:rFonts w:ascii="宋体" w:hAnsi="宋体" w:cs="宋体"/>
                <w:color w:val="auto"/>
                <w:sz w:val="21"/>
                <w:szCs w:val="21"/>
                <w:highlight w:val="none"/>
              </w:rPr>
            </w:pPr>
          </w:p>
        </w:tc>
        <w:tc>
          <w:tcPr>
            <w:tcW w:w="2531" w:type="dxa"/>
            <w:vAlign w:val="center"/>
          </w:tcPr>
          <w:p>
            <w:pPr>
              <w:spacing w:line="400" w:lineRule="exact"/>
              <w:jc w:val="center"/>
              <w:rPr>
                <w:rFonts w:ascii="宋体" w:hAnsi="宋体" w:cs="宋体"/>
                <w:color w:val="auto"/>
                <w:sz w:val="21"/>
                <w:szCs w:val="21"/>
                <w:highlight w:val="none"/>
              </w:rPr>
            </w:pPr>
          </w:p>
        </w:tc>
        <w:tc>
          <w:tcPr>
            <w:tcW w:w="2003" w:type="dxa"/>
            <w:vAlign w:val="center"/>
          </w:tcPr>
          <w:p>
            <w:pPr>
              <w:spacing w:line="400" w:lineRule="exact"/>
              <w:jc w:val="center"/>
              <w:rPr>
                <w:rFonts w:ascii="宋体" w:hAnsi="宋体" w:cs="宋体"/>
                <w:color w:val="auto"/>
                <w:sz w:val="21"/>
                <w:szCs w:val="21"/>
                <w:highlight w:val="none"/>
              </w:rPr>
            </w:pPr>
          </w:p>
        </w:tc>
        <w:tc>
          <w:tcPr>
            <w:tcW w:w="1440" w:type="dxa"/>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pPr>
        <w:spacing w:line="360" w:lineRule="auto"/>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备注：1、此表中 “原条款描述”的条款与用户需求中的条款描述不一致的，以用户需求中规定的为准。</w:t>
      </w:r>
    </w:p>
    <w:p>
      <w:pPr>
        <w:snapToGrid w:val="0"/>
        <w:spacing w:line="360" w:lineRule="auto"/>
        <w:ind w:left="214" w:leftChars="107"/>
        <w:rPr>
          <w:rFonts w:ascii="宋体" w:hAnsi="宋体" w:cs="宋体"/>
          <w:b/>
          <w:bCs/>
          <w:color w:val="auto"/>
          <w:sz w:val="21"/>
          <w:szCs w:val="21"/>
          <w:highlight w:val="none"/>
        </w:rPr>
      </w:pPr>
      <w:r>
        <w:rPr>
          <w:rFonts w:hint="eastAsia" w:ascii="宋体" w:hAnsi="宋体" w:cs="宋体"/>
          <w:color w:val="auto"/>
          <w:spacing w:val="4"/>
          <w:sz w:val="21"/>
          <w:szCs w:val="21"/>
          <w:highlight w:val="none"/>
        </w:rPr>
        <w:t>2、</w:t>
      </w:r>
      <w:r>
        <w:rPr>
          <w:rFonts w:hint="eastAsia" w:ascii="宋体" w:hAnsi="宋体" w:cs="宋体"/>
          <w:color w:val="auto"/>
          <w:sz w:val="21"/>
          <w:szCs w:val="21"/>
          <w:highlight w:val="none"/>
        </w:rPr>
        <w:t>投标人必须按招标文件要求提供相关文件，</w:t>
      </w:r>
      <w:r>
        <w:rPr>
          <w:rFonts w:hint="eastAsia" w:ascii="宋体" w:hAnsi="宋体" w:cs="宋体"/>
          <w:b/>
          <w:bCs/>
          <w:color w:val="auto"/>
          <w:sz w:val="21"/>
          <w:szCs w:val="21"/>
          <w:highlight w:val="none"/>
        </w:rPr>
        <w:t>如有任何一条不响应或不满足则导致无效投标。</w:t>
      </w: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投标人名称（单位盖公章）： </w:t>
      </w: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法定代表人或投标人授权代表（签名或盖私章）：</w:t>
      </w:r>
      <w:r>
        <w:rPr>
          <w:rFonts w:hint="eastAsia" w:ascii="宋体" w:hAnsi="宋体" w:cs="宋体"/>
          <w:color w:val="auto"/>
          <w:sz w:val="21"/>
          <w:szCs w:val="21"/>
          <w:highlight w:val="none"/>
        </w:rPr>
        <w:tab/>
      </w: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pPr>
        <w:autoSpaceDE/>
        <w:autoSpaceDN/>
        <w:adjustRightInd/>
        <w:spacing w:line="360" w:lineRule="auto"/>
        <w:ind w:left="1"/>
        <w:jc w:val="center"/>
        <w:rPr>
          <w:rFonts w:ascii="宋体" w:hAnsi="宋体" w:cs="宋体"/>
          <w:bCs/>
          <w:color w:val="auto"/>
          <w:sz w:val="32"/>
          <w:szCs w:val="32"/>
          <w:highlight w:val="none"/>
        </w:rPr>
      </w:pPr>
    </w:p>
    <w:p>
      <w:pPr>
        <w:autoSpaceDE/>
        <w:autoSpaceDN/>
        <w:adjustRightInd/>
        <w:spacing w:line="360" w:lineRule="auto"/>
        <w:ind w:left="1"/>
        <w:jc w:val="center"/>
        <w:rPr>
          <w:rFonts w:ascii="宋体" w:hAnsi="宋体" w:cs="宋体"/>
          <w:b/>
          <w:color w:val="auto"/>
          <w:highlight w:val="none"/>
        </w:rPr>
      </w:pPr>
      <w:r>
        <w:rPr>
          <w:rFonts w:hint="eastAsia" w:ascii="宋体" w:hAnsi="宋体" w:cs="宋体"/>
          <w:bCs/>
          <w:color w:val="auto"/>
          <w:sz w:val="32"/>
          <w:szCs w:val="32"/>
          <w:highlight w:val="none"/>
        </w:rPr>
        <w:t>（七）用户需求书响应一览表</w:t>
      </w:r>
    </w:p>
    <w:p>
      <w:pPr>
        <w:spacing w:line="360" w:lineRule="auto"/>
        <w:ind w:left="400" w:leftChars="200"/>
        <w:rPr>
          <w:rFonts w:ascii="宋体" w:hAnsi="宋体" w:cs="宋体"/>
          <w:color w:val="auto"/>
          <w:sz w:val="21"/>
          <w:szCs w:val="21"/>
          <w:highlight w:val="none"/>
        </w:rPr>
      </w:pPr>
      <w:r>
        <w:rPr>
          <w:rFonts w:hint="eastAsia" w:ascii="宋体" w:hAnsi="宋体" w:cs="宋体"/>
          <w:color w:val="auto"/>
          <w:sz w:val="21"/>
          <w:szCs w:val="21"/>
          <w:highlight w:val="none"/>
        </w:rPr>
        <w:t>说明：投标人必须对应招标文件的用户需求书条款逐条应答并按要求填写下表。</w:t>
      </w:r>
    </w:p>
    <w:p>
      <w:pPr>
        <w:spacing w:line="360" w:lineRule="auto"/>
        <w:ind w:left="40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项目名称：中山市火炬科学技术学校小卖部承包经营项目                   </w:t>
      </w:r>
    </w:p>
    <w:p>
      <w:pPr>
        <w:spacing w:line="360" w:lineRule="auto"/>
        <w:ind w:left="400" w:leftChars="200"/>
        <w:rPr>
          <w:rFonts w:ascii="宋体" w:hAnsi="宋体" w:cs="宋体"/>
          <w:color w:val="auto"/>
          <w:sz w:val="21"/>
          <w:szCs w:val="21"/>
          <w:highlight w:val="none"/>
        </w:rPr>
      </w:pPr>
      <w:r>
        <w:rPr>
          <w:rFonts w:hint="eastAsia" w:ascii="宋体" w:hAnsi="宋体" w:cs="宋体"/>
          <w:color w:val="auto"/>
          <w:sz w:val="21"/>
          <w:szCs w:val="21"/>
          <w:highlight w:val="none"/>
        </w:rPr>
        <w:t>项目编号：FH2022CG0113</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552"/>
        <w:gridCol w:w="2458"/>
        <w:gridCol w:w="2032"/>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5" w:type="dxa"/>
            <w:shd w:val="clear" w:color="auto" w:fill="EEECE1"/>
            <w:vAlign w:val="center"/>
          </w:tcPr>
          <w:p>
            <w:pPr>
              <w:snapToGrid w:val="0"/>
              <w:spacing w:line="360" w:lineRule="auto"/>
              <w:ind w:left="-68" w:leftChars="-34" w:right="-70" w:rightChars="-35"/>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2552" w:type="dxa"/>
            <w:shd w:val="clear" w:color="auto" w:fill="EEECE1"/>
            <w:vAlign w:val="center"/>
          </w:tcPr>
          <w:p>
            <w:pPr>
              <w:snapToGrid w:val="0"/>
              <w:spacing w:line="360" w:lineRule="auto"/>
              <w:ind w:left="-68" w:leftChars="-34" w:right="-70" w:rightChars="-35"/>
              <w:jc w:val="center"/>
              <w:rPr>
                <w:rFonts w:ascii="宋体" w:hAnsi="宋体" w:cs="宋体"/>
                <w:color w:val="auto"/>
                <w:sz w:val="21"/>
                <w:szCs w:val="21"/>
                <w:highlight w:val="none"/>
              </w:rPr>
            </w:pPr>
            <w:r>
              <w:rPr>
                <w:rFonts w:hint="eastAsia" w:ascii="宋体" w:hAnsi="宋体" w:cs="宋体"/>
                <w:color w:val="auto"/>
                <w:sz w:val="21"/>
                <w:szCs w:val="21"/>
                <w:highlight w:val="none"/>
              </w:rPr>
              <w:t>招标文件条款描述</w:t>
            </w:r>
          </w:p>
        </w:tc>
        <w:tc>
          <w:tcPr>
            <w:tcW w:w="2458" w:type="dxa"/>
            <w:shd w:val="clear" w:color="auto" w:fill="EEECE1"/>
            <w:vAlign w:val="center"/>
          </w:tcPr>
          <w:p>
            <w:pPr>
              <w:snapToGrid w:val="0"/>
              <w:spacing w:line="360" w:lineRule="auto"/>
              <w:ind w:left="-68" w:leftChars="-34" w:right="-70" w:rightChars="-35"/>
              <w:jc w:val="center"/>
              <w:rPr>
                <w:rFonts w:ascii="宋体" w:hAnsi="宋体" w:cs="宋体"/>
                <w:color w:val="auto"/>
                <w:sz w:val="21"/>
                <w:szCs w:val="21"/>
                <w:highlight w:val="none"/>
              </w:rPr>
            </w:pPr>
            <w:r>
              <w:rPr>
                <w:rFonts w:hint="eastAsia" w:ascii="宋体" w:hAnsi="宋体" w:cs="宋体"/>
                <w:color w:val="auto"/>
                <w:sz w:val="21"/>
                <w:szCs w:val="21"/>
                <w:highlight w:val="none"/>
              </w:rPr>
              <w:t>投标人响应描述</w:t>
            </w:r>
          </w:p>
        </w:tc>
        <w:tc>
          <w:tcPr>
            <w:tcW w:w="2032" w:type="dxa"/>
            <w:shd w:val="clear" w:color="auto" w:fill="EEECE1"/>
            <w:vAlign w:val="center"/>
          </w:tcPr>
          <w:p>
            <w:pPr>
              <w:snapToGrid w:val="0"/>
              <w:spacing w:line="360" w:lineRule="auto"/>
              <w:ind w:left="-68" w:leftChars="-34" w:right="-70" w:rightChars="-35"/>
              <w:jc w:val="center"/>
              <w:rPr>
                <w:rFonts w:ascii="宋体" w:hAnsi="宋体" w:cs="宋体"/>
                <w:color w:val="auto"/>
                <w:sz w:val="21"/>
                <w:szCs w:val="21"/>
                <w:highlight w:val="none"/>
              </w:rPr>
            </w:pPr>
            <w:r>
              <w:rPr>
                <w:rFonts w:hint="eastAsia" w:ascii="宋体" w:hAnsi="宋体" w:cs="宋体"/>
                <w:color w:val="auto"/>
                <w:sz w:val="21"/>
                <w:szCs w:val="21"/>
                <w:highlight w:val="none"/>
              </w:rPr>
              <w:t>偏离情况说明</w:t>
            </w:r>
          </w:p>
          <w:p>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（正偏离/完全响应/负偏离）</w:t>
            </w:r>
          </w:p>
        </w:tc>
        <w:tc>
          <w:tcPr>
            <w:tcW w:w="1804" w:type="dxa"/>
            <w:shd w:val="clear" w:color="auto" w:fill="EEECE1"/>
            <w:vAlign w:val="center"/>
          </w:tcPr>
          <w:p>
            <w:pPr>
              <w:snapToGrid w:val="0"/>
              <w:spacing w:line="360" w:lineRule="auto"/>
              <w:ind w:left="-68" w:leftChars="-34" w:right="-70" w:rightChars="-35"/>
              <w:jc w:val="center"/>
              <w:rPr>
                <w:rFonts w:ascii="宋体" w:hAnsi="宋体" w:cs="宋体"/>
                <w:color w:val="auto"/>
                <w:sz w:val="21"/>
                <w:szCs w:val="21"/>
                <w:highlight w:val="none"/>
              </w:rPr>
            </w:pPr>
            <w:r>
              <w:rPr>
                <w:rFonts w:hint="eastAsia" w:ascii="宋体" w:hAnsi="宋体" w:cs="宋体"/>
                <w:color w:val="auto"/>
                <w:sz w:val="21"/>
                <w:szCs w:val="21"/>
                <w:highlight w:val="none"/>
              </w:rPr>
              <w:t>查阅/文件指引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471" w:type="dxa"/>
            <w:gridSpan w:val="5"/>
            <w:vAlign w:val="center"/>
          </w:tcPr>
          <w:p>
            <w:pPr>
              <w:spacing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除带“</w:t>
            </w:r>
            <w:r>
              <w:rPr>
                <w:rFonts w:hint="eastAsia" w:ascii="宋体" w:hAnsi="宋体" w:cs="宋体"/>
                <w:b/>
                <w:bCs/>
                <w:color w:val="auto"/>
                <w:sz w:val="21"/>
                <w:szCs w:val="21"/>
                <w:highlight w:val="none"/>
              </w:rPr>
              <w:t>★</w:t>
            </w:r>
            <w:r>
              <w:rPr>
                <w:rFonts w:hint="eastAsia" w:ascii="宋体" w:hAnsi="宋体" w:cs="宋体"/>
                <w:b/>
                <w:color w:val="auto"/>
                <w:sz w:val="21"/>
                <w:szCs w:val="21"/>
                <w:highlight w:val="none"/>
              </w:rPr>
              <w:t>”之外的条款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25" w:type="dxa"/>
            <w:vAlign w:val="center"/>
          </w:tcPr>
          <w:p>
            <w:pPr>
              <w:numPr>
                <w:ilvl w:val="0"/>
                <w:numId w:val="45"/>
              </w:numPr>
              <w:autoSpaceDE/>
              <w:autoSpaceDN/>
              <w:adjustRightInd/>
              <w:spacing w:line="360" w:lineRule="auto"/>
              <w:jc w:val="center"/>
              <w:rPr>
                <w:rFonts w:ascii="宋体" w:hAnsi="宋体" w:cs="宋体"/>
                <w:color w:val="auto"/>
                <w:sz w:val="21"/>
                <w:szCs w:val="21"/>
                <w:highlight w:val="none"/>
              </w:rPr>
            </w:pPr>
          </w:p>
        </w:tc>
        <w:tc>
          <w:tcPr>
            <w:tcW w:w="2552" w:type="dxa"/>
            <w:vAlign w:val="center"/>
          </w:tcPr>
          <w:p>
            <w:pPr>
              <w:spacing w:line="360" w:lineRule="auto"/>
              <w:jc w:val="center"/>
              <w:rPr>
                <w:rFonts w:ascii="宋体" w:hAnsi="宋体" w:cs="宋体"/>
                <w:color w:val="auto"/>
                <w:sz w:val="21"/>
                <w:szCs w:val="21"/>
                <w:highlight w:val="none"/>
              </w:rPr>
            </w:pPr>
          </w:p>
        </w:tc>
        <w:tc>
          <w:tcPr>
            <w:tcW w:w="2458" w:type="dxa"/>
            <w:vAlign w:val="center"/>
          </w:tcPr>
          <w:p>
            <w:pPr>
              <w:spacing w:line="360" w:lineRule="auto"/>
              <w:jc w:val="center"/>
              <w:rPr>
                <w:rFonts w:ascii="宋体" w:hAnsi="宋体" w:cs="宋体"/>
                <w:color w:val="auto"/>
                <w:sz w:val="21"/>
                <w:szCs w:val="21"/>
                <w:highlight w:val="none"/>
              </w:rPr>
            </w:pPr>
          </w:p>
        </w:tc>
        <w:tc>
          <w:tcPr>
            <w:tcW w:w="2032" w:type="dxa"/>
            <w:vAlign w:val="center"/>
          </w:tcPr>
          <w:p>
            <w:pPr>
              <w:spacing w:line="360" w:lineRule="auto"/>
              <w:jc w:val="center"/>
              <w:rPr>
                <w:rFonts w:ascii="宋体" w:hAnsi="宋体" w:cs="宋体"/>
                <w:color w:val="auto"/>
                <w:sz w:val="21"/>
                <w:szCs w:val="21"/>
                <w:highlight w:val="none"/>
              </w:rPr>
            </w:pPr>
          </w:p>
        </w:tc>
        <w:tc>
          <w:tcPr>
            <w:tcW w:w="1804" w:type="dxa"/>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25" w:type="dxa"/>
            <w:vAlign w:val="center"/>
          </w:tcPr>
          <w:p>
            <w:pPr>
              <w:numPr>
                <w:ilvl w:val="0"/>
                <w:numId w:val="45"/>
              </w:numPr>
              <w:autoSpaceDE/>
              <w:autoSpaceDN/>
              <w:adjustRightInd/>
              <w:spacing w:line="360" w:lineRule="auto"/>
              <w:jc w:val="center"/>
              <w:rPr>
                <w:rFonts w:ascii="宋体" w:hAnsi="宋体" w:cs="宋体"/>
                <w:color w:val="auto"/>
                <w:sz w:val="21"/>
                <w:szCs w:val="21"/>
                <w:highlight w:val="none"/>
              </w:rPr>
            </w:pPr>
          </w:p>
        </w:tc>
        <w:tc>
          <w:tcPr>
            <w:tcW w:w="2552" w:type="dxa"/>
            <w:vAlign w:val="center"/>
          </w:tcPr>
          <w:p>
            <w:pPr>
              <w:spacing w:line="360" w:lineRule="auto"/>
              <w:jc w:val="center"/>
              <w:rPr>
                <w:rFonts w:ascii="宋体" w:hAnsi="宋体" w:cs="宋体"/>
                <w:color w:val="auto"/>
                <w:sz w:val="21"/>
                <w:szCs w:val="21"/>
                <w:highlight w:val="none"/>
              </w:rPr>
            </w:pPr>
          </w:p>
        </w:tc>
        <w:tc>
          <w:tcPr>
            <w:tcW w:w="2458" w:type="dxa"/>
            <w:vAlign w:val="center"/>
          </w:tcPr>
          <w:p>
            <w:pPr>
              <w:spacing w:line="360" w:lineRule="auto"/>
              <w:jc w:val="center"/>
              <w:rPr>
                <w:rFonts w:ascii="宋体" w:hAnsi="宋体" w:cs="宋体"/>
                <w:color w:val="auto"/>
                <w:sz w:val="21"/>
                <w:szCs w:val="21"/>
                <w:highlight w:val="none"/>
              </w:rPr>
            </w:pPr>
          </w:p>
        </w:tc>
        <w:tc>
          <w:tcPr>
            <w:tcW w:w="2032" w:type="dxa"/>
            <w:vAlign w:val="center"/>
          </w:tcPr>
          <w:p>
            <w:pPr>
              <w:spacing w:line="360" w:lineRule="auto"/>
              <w:jc w:val="center"/>
              <w:rPr>
                <w:rFonts w:ascii="宋体" w:hAnsi="宋体" w:cs="宋体"/>
                <w:color w:val="auto"/>
                <w:sz w:val="21"/>
                <w:szCs w:val="21"/>
                <w:highlight w:val="none"/>
              </w:rPr>
            </w:pPr>
          </w:p>
        </w:tc>
        <w:tc>
          <w:tcPr>
            <w:tcW w:w="1804" w:type="dxa"/>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25" w:type="dxa"/>
            <w:vAlign w:val="center"/>
          </w:tcPr>
          <w:p>
            <w:pPr>
              <w:numPr>
                <w:ilvl w:val="0"/>
                <w:numId w:val="45"/>
              </w:numPr>
              <w:autoSpaceDE/>
              <w:autoSpaceDN/>
              <w:adjustRightInd/>
              <w:spacing w:line="360" w:lineRule="auto"/>
              <w:jc w:val="center"/>
              <w:rPr>
                <w:rFonts w:ascii="宋体" w:hAnsi="宋体" w:cs="宋体"/>
                <w:color w:val="auto"/>
                <w:sz w:val="21"/>
                <w:szCs w:val="21"/>
                <w:highlight w:val="none"/>
              </w:rPr>
            </w:pPr>
          </w:p>
        </w:tc>
        <w:tc>
          <w:tcPr>
            <w:tcW w:w="2552" w:type="dxa"/>
            <w:vAlign w:val="center"/>
          </w:tcPr>
          <w:p>
            <w:pPr>
              <w:spacing w:line="360" w:lineRule="auto"/>
              <w:jc w:val="center"/>
              <w:rPr>
                <w:rFonts w:ascii="宋体" w:hAnsi="宋体" w:cs="宋体"/>
                <w:color w:val="auto"/>
                <w:sz w:val="21"/>
                <w:szCs w:val="21"/>
                <w:highlight w:val="none"/>
              </w:rPr>
            </w:pPr>
          </w:p>
        </w:tc>
        <w:tc>
          <w:tcPr>
            <w:tcW w:w="2458" w:type="dxa"/>
            <w:vAlign w:val="center"/>
          </w:tcPr>
          <w:p>
            <w:pPr>
              <w:spacing w:line="360" w:lineRule="auto"/>
              <w:jc w:val="center"/>
              <w:rPr>
                <w:rFonts w:ascii="宋体" w:hAnsi="宋体" w:cs="宋体"/>
                <w:color w:val="auto"/>
                <w:sz w:val="21"/>
                <w:szCs w:val="21"/>
                <w:highlight w:val="none"/>
              </w:rPr>
            </w:pPr>
          </w:p>
        </w:tc>
        <w:tc>
          <w:tcPr>
            <w:tcW w:w="2032" w:type="dxa"/>
            <w:vAlign w:val="center"/>
          </w:tcPr>
          <w:p>
            <w:pPr>
              <w:spacing w:line="360" w:lineRule="auto"/>
              <w:jc w:val="center"/>
              <w:rPr>
                <w:rFonts w:ascii="宋体" w:hAnsi="宋体" w:cs="宋体"/>
                <w:color w:val="auto"/>
                <w:sz w:val="21"/>
                <w:szCs w:val="21"/>
                <w:highlight w:val="none"/>
              </w:rPr>
            </w:pPr>
          </w:p>
        </w:tc>
        <w:tc>
          <w:tcPr>
            <w:tcW w:w="1804" w:type="dxa"/>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pPr>
        <w:pStyle w:val="6"/>
        <w:kinsoku w:val="0"/>
        <w:overflowPunct w:val="0"/>
        <w:spacing w:before="50" w:line="360" w:lineRule="auto"/>
        <w:rPr>
          <w:rFonts w:ascii="宋体" w:hAnsi="宋体" w:cs="宋体"/>
          <w:color w:val="auto"/>
          <w:sz w:val="21"/>
          <w:szCs w:val="21"/>
          <w:highlight w:val="none"/>
        </w:rPr>
      </w:pPr>
      <w:r>
        <w:rPr>
          <w:rFonts w:hint="eastAsia" w:ascii="宋体" w:hAnsi="宋体" w:cs="宋体"/>
          <w:color w:val="auto"/>
          <w:spacing w:val="-1"/>
          <w:sz w:val="21"/>
          <w:szCs w:val="21"/>
          <w:highlight w:val="none"/>
        </w:rPr>
        <w:t>备注：</w:t>
      </w:r>
      <w:r>
        <w:rPr>
          <w:rFonts w:hint="eastAsia" w:ascii="宋体" w:hAnsi="宋体" w:cs="宋体"/>
          <w:color w:val="auto"/>
          <w:sz w:val="21"/>
          <w:szCs w:val="21"/>
          <w:highlight w:val="none"/>
        </w:rPr>
        <w:t xml:space="preserve"> </w:t>
      </w:r>
    </w:p>
    <w:p>
      <w:pPr>
        <w:pStyle w:val="6"/>
        <w:kinsoku w:val="0"/>
        <w:overflowPunct w:val="0"/>
        <w:spacing w:before="5" w:line="360" w:lineRule="auto"/>
        <w:rPr>
          <w:rFonts w:ascii="宋体" w:hAnsi="宋体" w:cs="宋体"/>
          <w:color w:val="auto"/>
          <w:sz w:val="21"/>
          <w:szCs w:val="21"/>
          <w:highlight w:val="none"/>
        </w:rPr>
      </w:pPr>
    </w:p>
    <w:p>
      <w:pPr>
        <w:pStyle w:val="6"/>
        <w:tabs>
          <w:tab w:val="left" w:pos="560"/>
        </w:tabs>
        <w:kinsoku w:val="0"/>
        <w:overflowPunct w:val="0"/>
        <w:spacing w:line="360" w:lineRule="auto"/>
        <w:ind w:left="140" w:right="221"/>
        <w:rPr>
          <w:rFonts w:ascii="宋体" w:hAnsi="宋体" w:cs="宋体"/>
          <w:color w:val="auto"/>
          <w:sz w:val="21"/>
          <w:szCs w:val="21"/>
          <w:highlight w:val="none"/>
        </w:rPr>
      </w:pPr>
      <w:r>
        <w:rPr>
          <w:rFonts w:hint="eastAsia" w:ascii="宋体" w:hAnsi="宋体" w:cs="宋体"/>
          <w:color w:val="auto"/>
          <w:sz w:val="21"/>
          <w:szCs w:val="21"/>
          <w:highlight w:val="none"/>
        </w:rPr>
        <w:t>1.本表</w:t>
      </w:r>
      <w:r>
        <w:rPr>
          <w:rFonts w:hint="eastAsia" w:ascii="宋体" w:hAnsi="宋体" w:cs="宋体"/>
          <w:color w:val="auto"/>
          <w:spacing w:val="-3"/>
          <w:sz w:val="21"/>
          <w:szCs w:val="21"/>
          <w:highlight w:val="none"/>
        </w:rPr>
        <w:t>的“</w:t>
      </w:r>
      <w:r>
        <w:rPr>
          <w:rFonts w:hint="eastAsia" w:ascii="宋体" w:hAnsi="宋体" w:cs="宋体"/>
          <w:color w:val="auto"/>
          <w:sz w:val="21"/>
          <w:szCs w:val="21"/>
          <w:highlight w:val="none"/>
        </w:rPr>
        <w:t>招标文</w:t>
      </w:r>
      <w:r>
        <w:rPr>
          <w:rFonts w:hint="eastAsia" w:ascii="宋体" w:hAnsi="宋体" w:cs="宋体"/>
          <w:color w:val="auto"/>
          <w:spacing w:val="-3"/>
          <w:sz w:val="21"/>
          <w:szCs w:val="21"/>
          <w:highlight w:val="none"/>
        </w:rPr>
        <w:t>件</w:t>
      </w:r>
      <w:r>
        <w:rPr>
          <w:rFonts w:hint="eastAsia" w:ascii="宋体" w:hAnsi="宋体" w:cs="宋体"/>
          <w:color w:val="auto"/>
          <w:sz w:val="21"/>
          <w:szCs w:val="21"/>
          <w:highlight w:val="none"/>
        </w:rPr>
        <w:t>条</w:t>
      </w:r>
      <w:r>
        <w:rPr>
          <w:rFonts w:hint="eastAsia" w:ascii="宋体" w:hAnsi="宋体" w:cs="宋体"/>
          <w:color w:val="auto"/>
          <w:spacing w:val="-3"/>
          <w:sz w:val="21"/>
          <w:szCs w:val="21"/>
          <w:highlight w:val="none"/>
        </w:rPr>
        <w:t>款描</w:t>
      </w:r>
      <w:r>
        <w:rPr>
          <w:rFonts w:hint="eastAsia" w:ascii="宋体" w:hAnsi="宋体" w:cs="宋体"/>
          <w:color w:val="auto"/>
          <w:sz w:val="21"/>
          <w:szCs w:val="21"/>
          <w:highlight w:val="none"/>
        </w:rPr>
        <w:t>述</w:t>
      </w:r>
      <w:r>
        <w:rPr>
          <w:rFonts w:hint="eastAsia" w:ascii="宋体" w:hAnsi="宋体" w:cs="宋体"/>
          <w:color w:val="auto"/>
          <w:spacing w:val="-13"/>
          <w:sz w:val="21"/>
          <w:szCs w:val="21"/>
          <w:highlight w:val="none"/>
        </w:rPr>
        <w:t>”</w:t>
      </w:r>
      <w:r>
        <w:rPr>
          <w:rFonts w:hint="eastAsia" w:ascii="宋体" w:hAnsi="宋体" w:cs="宋体"/>
          <w:color w:val="auto"/>
          <w:sz w:val="21"/>
          <w:szCs w:val="21"/>
          <w:highlight w:val="none"/>
        </w:rPr>
        <w:t>的</w:t>
      </w:r>
      <w:r>
        <w:rPr>
          <w:rFonts w:hint="eastAsia" w:ascii="宋体" w:hAnsi="宋体" w:cs="宋体"/>
          <w:color w:val="auto"/>
          <w:spacing w:val="-3"/>
          <w:sz w:val="21"/>
          <w:szCs w:val="21"/>
          <w:highlight w:val="none"/>
        </w:rPr>
        <w:t>条</w:t>
      </w:r>
      <w:r>
        <w:rPr>
          <w:rFonts w:hint="eastAsia" w:ascii="宋体" w:hAnsi="宋体" w:cs="宋体"/>
          <w:color w:val="auto"/>
          <w:sz w:val="21"/>
          <w:szCs w:val="21"/>
          <w:highlight w:val="none"/>
        </w:rPr>
        <w:t>款</w:t>
      </w:r>
      <w:r>
        <w:rPr>
          <w:rFonts w:hint="eastAsia" w:ascii="宋体" w:hAnsi="宋体" w:cs="宋体"/>
          <w:color w:val="auto"/>
          <w:spacing w:val="-3"/>
          <w:sz w:val="21"/>
          <w:szCs w:val="21"/>
          <w:highlight w:val="none"/>
        </w:rPr>
        <w:t>与</w:t>
      </w:r>
      <w:r>
        <w:rPr>
          <w:rFonts w:hint="eastAsia" w:ascii="宋体" w:hAnsi="宋体" w:cs="宋体"/>
          <w:color w:val="auto"/>
          <w:sz w:val="21"/>
          <w:szCs w:val="21"/>
          <w:highlight w:val="none"/>
        </w:rPr>
        <w:t>用户</w:t>
      </w:r>
      <w:r>
        <w:rPr>
          <w:rFonts w:hint="eastAsia" w:ascii="宋体" w:hAnsi="宋体" w:cs="宋体"/>
          <w:color w:val="auto"/>
          <w:spacing w:val="-2"/>
          <w:sz w:val="21"/>
          <w:szCs w:val="21"/>
          <w:highlight w:val="none"/>
        </w:rPr>
        <w:t>需求中的条款描述不一致的，以用户需求中规定的为准。</w:t>
      </w:r>
      <w:r>
        <w:rPr>
          <w:rFonts w:hint="eastAsia" w:ascii="宋体" w:hAnsi="宋体" w:cs="宋体"/>
          <w:color w:val="auto"/>
          <w:sz w:val="21"/>
          <w:szCs w:val="21"/>
          <w:highlight w:val="none"/>
        </w:rPr>
        <w:t xml:space="preserve"> </w:t>
      </w:r>
    </w:p>
    <w:p>
      <w:pPr>
        <w:pStyle w:val="6"/>
        <w:tabs>
          <w:tab w:val="left" w:pos="560"/>
        </w:tabs>
        <w:kinsoku w:val="0"/>
        <w:overflowPunct w:val="0"/>
        <w:spacing w:before="53" w:line="360" w:lineRule="auto"/>
        <w:ind w:left="248" w:hanging="108"/>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 xml:space="preserve">2.投标人必须按招标文件要求附相关证明文件，如有任何一项不响应或不满足的视为负偏离。 </w:t>
      </w:r>
    </w:p>
    <w:p>
      <w:pPr>
        <w:spacing w:line="360" w:lineRule="auto"/>
        <w:ind w:firstLine="436" w:firstLineChars="200"/>
        <w:rPr>
          <w:rFonts w:ascii="宋体" w:hAnsi="宋体" w:cs="宋体"/>
          <w:color w:val="auto"/>
          <w:spacing w:val="4"/>
          <w:sz w:val="21"/>
          <w:szCs w:val="21"/>
          <w:highlight w:val="none"/>
        </w:rPr>
      </w:pP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投标人名称（单位盖公章）： </w:t>
      </w: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法定代表人或投标人授权代表（签名或盖私章）：</w:t>
      </w:r>
      <w:r>
        <w:rPr>
          <w:rFonts w:hint="eastAsia" w:ascii="宋体" w:hAnsi="宋体" w:cs="宋体"/>
          <w:color w:val="auto"/>
          <w:sz w:val="21"/>
          <w:szCs w:val="21"/>
          <w:highlight w:val="none"/>
        </w:rPr>
        <w:tab/>
      </w: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pStyle w:val="2"/>
        <w:adjustRightInd w:val="0"/>
        <w:snapToGrid w:val="0"/>
        <w:spacing w:before="0" w:after="0" w:line="360" w:lineRule="auto"/>
        <w:jc w:val="center"/>
        <w:rPr>
          <w:rFonts w:ascii="宋体" w:hAnsi="宋体" w:eastAsia="宋体" w:cs="宋体"/>
          <w:b w:val="0"/>
          <w:color w:val="auto"/>
          <w:kern w:val="0"/>
          <w:highlight w:val="none"/>
        </w:rPr>
      </w:pPr>
      <w:r>
        <w:rPr>
          <w:rFonts w:hint="eastAsia" w:ascii="宋体" w:hAnsi="宋体" w:eastAsia="宋体" w:cs="宋体"/>
          <w:b w:val="0"/>
          <w:color w:val="auto"/>
          <w:kern w:val="0"/>
          <w:highlight w:val="none"/>
        </w:rPr>
        <w:t>（八）投标人基本情况表</w:t>
      </w:r>
    </w:p>
    <w:p>
      <w:pPr>
        <w:numPr>
          <w:ilvl w:val="0"/>
          <w:numId w:val="46"/>
        </w:numPr>
        <w:autoSpaceDE/>
        <w:autoSpaceDN/>
        <w:adjustRightInd/>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公司基本情况</w:t>
      </w:r>
    </w:p>
    <w:p>
      <w:pPr>
        <w:numPr>
          <w:ilvl w:val="1"/>
          <w:numId w:val="46"/>
        </w:numPr>
        <w:tabs>
          <w:tab w:val="left" w:pos="396"/>
          <w:tab w:val="clear" w:pos="840"/>
        </w:tabs>
        <w:autoSpaceDE/>
        <w:autoSpaceDN/>
        <w:adjustRightInd/>
        <w:spacing w:line="360" w:lineRule="auto"/>
        <w:ind w:left="420"/>
        <w:jc w:val="both"/>
        <w:rPr>
          <w:rFonts w:ascii="宋体" w:hAnsi="宋体" w:cs="宋体"/>
          <w:color w:val="auto"/>
          <w:sz w:val="21"/>
          <w:szCs w:val="21"/>
          <w:highlight w:val="none"/>
        </w:rPr>
      </w:pPr>
      <w:r>
        <w:rPr>
          <w:rFonts w:hint="eastAsia" w:ascii="宋体" w:hAnsi="宋体" w:cs="宋体"/>
          <w:color w:val="auto"/>
          <w:sz w:val="21"/>
          <w:szCs w:val="21"/>
          <w:highlight w:val="none"/>
        </w:rPr>
        <w:t>公司名称：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电话号码：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numPr>
          <w:ilvl w:val="1"/>
          <w:numId w:val="46"/>
        </w:numPr>
        <w:tabs>
          <w:tab w:val="left" w:pos="396"/>
          <w:tab w:val="clear" w:pos="840"/>
        </w:tabs>
        <w:autoSpaceDE/>
        <w:autoSpaceDN/>
        <w:adjustRightInd/>
        <w:spacing w:line="360" w:lineRule="auto"/>
        <w:ind w:left="420"/>
        <w:jc w:val="both"/>
        <w:rPr>
          <w:rFonts w:ascii="宋体" w:hAnsi="宋体" w:cs="宋体"/>
          <w:color w:val="auto"/>
          <w:sz w:val="21"/>
          <w:szCs w:val="21"/>
          <w:highlight w:val="non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传    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电子邮箱：</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numPr>
          <w:ilvl w:val="1"/>
          <w:numId w:val="46"/>
        </w:numPr>
        <w:tabs>
          <w:tab w:val="left" w:pos="396"/>
          <w:tab w:val="clear" w:pos="840"/>
        </w:tabs>
        <w:autoSpaceDE/>
        <w:autoSpaceDN/>
        <w:adjustRightInd/>
        <w:spacing w:line="360" w:lineRule="auto"/>
        <w:ind w:left="420"/>
        <w:jc w:val="both"/>
        <w:rPr>
          <w:rFonts w:ascii="宋体" w:hAnsi="宋体" w:cs="宋体"/>
          <w:color w:val="auto"/>
          <w:sz w:val="21"/>
          <w:szCs w:val="21"/>
          <w:highlight w:val="none"/>
          <w:u w:val="single"/>
        </w:rPr>
      </w:pPr>
      <w:r>
        <w:rPr>
          <w:rFonts w:hint="eastAsia" w:ascii="宋体" w:hAnsi="宋体" w:cs="宋体"/>
          <w:color w:val="auto"/>
          <w:sz w:val="21"/>
          <w:szCs w:val="21"/>
          <w:highlight w:val="none"/>
        </w:rPr>
        <w:t>注册资金：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经济性质：</w:t>
      </w:r>
      <w:r>
        <w:rPr>
          <w:rFonts w:hint="eastAsia" w:ascii="宋体" w:hAnsi="宋体" w:cs="宋体"/>
          <w:color w:val="auto"/>
          <w:sz w:val="21"/>
          <w:szCs w:val="21"/>
          <w:highlight w:val="none"/>
          <w:u w:val="single"/>
        </w:rPr>
        <w:t xml:space="preserve">          </w:t>
      </w:r>
    </w:p>
    <w:p>
      <w:pPr>
        <w:numPr>
          <w:ilvl w:val="1"/>
          <w:numId w:val="46"/>
        </w:numPr>
        <w:tabs>
          <w:tab w:val="left" w:pos="396"/>
          <w:tab w:val="clear" w:pos="840"/>
        </w:tabs>
        <w:autoSpaceDE/>
        <w:autoSpaceDN/>
        <w:adjustRightInd/>
        <w:spacing w:line="360" w:lineRule="auto"/>
        <w:ind w:left="420"/>
        <w:jc w:val="both"/>
        <w:rPr>
          <w:rFonts w:ascii="宋体" w:hAnsi="宋体" w:cs="宋体"/>
          <w:color w:val="auto"/>
          <w:sz w:val="21"/>
          <w:szCs w:val="21"/>
          <w:highlight w:val="none"/>
        </w:rPr>
      </w:pPr>
      <w:r>
        <w:rPr>
          <w:rFonts w:hint="eastAsia" w:ascii="宋体" w:hAnsi="宋体" w:cs="宋体"/>
          <w:color w:val="auto"/>
          <w:sz w:val="21"/>
          <w:szCs w:val="21"/>
          <w:highlight w:val="none"/>
        </w:rPr>
        <w:t xml:space="preserve">公司开户银行名称及账号：     </w:t>
      </w:r>
    </w:p>
    <w:p>
      <w:pPr>
        <w:numPr>
          <w:ilvl w:val="1"/>
          <w:numId w:val="46"/>
        </w:numPr>
        <w:tabs>
          <w:tab w:val="left" w:pos="396"/>
          <w:tab w:val="clear" w:pos="840"/>
        </w:tabs>
        <w:autoSpaceDE/>
        <w:autoSpaceDN/>
        <w:adjustRightInd/>
        <w:spacing w:line="360" w:lineRule="auto"/>
        <w:ind w:left="420"/>
        <w:jc w:val="both"/>
        <w:rPr>
          <w:rFonts w:ascii="宋体" w:hAnsi="宋体" w:cs="宋体"/>
          <w:color w:val="auto"/>
          <w:sz w:val="21"/>
          <w:szCs w:val="21"/>
          <w:highlight w:val="none"/>
        </w:rPr>
      </w:pPr>
      <w:r>
        <w:rPr>
          <w:rFonts w:hint="eastAsia" w:ascii="宋体" w:hAnsi="宋体" w:cs="宋体"/>
          <w:color w:val="auto"/>
          <w:sz w:val="21"/>
          <w:szCs w:val="21"/>
          <w:highlight w:val="none"/>
        </w:rPr>
        <w:t xml:space="preserve">营业注册执照号：   </w:t>
      </w:r>
    </w:p>
    <w:p>
      <w:pPr>
        <w:numPr>
          <w:ilvl w:val="1"/>
          <w:numId w:val="46"/>
        </w:numPr>
        <w:tabs>
          <w:tab w:val="left" w:pos="396"/>
          <w:tab w:val="clear" w:pos="840"/>
        </w:tabs>
        <w:autoSpaceDE/>
        <w:autoSpaceDN/>
        <w:adjustRightInd/>
        <w:spacing w:line="360" w:lineRule="auto"/>
        <w:ind w:left="420"/>
        <w:jc w:val="both"/>
        <w:rPr>
          <w:rFonts w:ascii="宋体" w:hAnsi="宋体" w:cs="宋体"/>
          <w:color w:val="auto"/>
          <w:sz w:val="21"/>
          <w:szCs w:val="21"/>
          <w:highlight w:val="none"/>
        </w:rPr>
      </w:pPr>
      <w:r>
        <w:rPr>
          <w:rFonts w:hint="eastAsia" w:ascii="宋体" w:hAnsi="宋体" w:cs="宋体"/>
          <w:color w:val="auto"/>
          <w:sz w:val="21"/>
          <w:szCs w:val="21"/>
          <w:highlight w:val="none"/>
        </w:rPr>
        <w:t>公司简介</w:t>
      </w:r>
    </w:p>
    <w:p>
      <w:pPr>
        <w:spacing w:line="360" w:lineRule="auto"/>
        <w:ind w:left="360"/>
        <w:rPr>
          <w:rFonts w:ascii="宋体" w:hAnsi="宋体" w:cs="宋体"/>
          <w:color w:val="auto"/>
          <w:sz w:val="21"/>
          <w:szCs w:val="21"/>
          <w:highlight w:val="none"/>
        </w:rPr>
      </w:pPr>
      <w:r>
        <w:rPr>
          <w:rFonts w:hint="eastAsia" w:ascii="宋体" w:hAnsi="宋体" w:cs="宋体"/>
          <w:color w:val="auto"/>
          <w:sz w:val="21"/>
          <w:szCs w:val="21"/>
          <w:highlight w:val="none"/>
        </w:rPr>
        <w:t>文字描述：</w:t>
      </w:r>
      <w:r>
        <w:rPr>
          <w:rFonts w:hint="eastAsia" w:ascii="宋体" w:hAnsi="宋体" w:cs="宋体"/>
          <w:bCs/>
          <w:color w:val="auto"/>
          <w:sz w:val="21"/>
          <w:szCs w:val="21"/>
          <w:highlight w:val="none"/>
          <w:lang w:val="en-GB"/>
        </w:rPr>
        <w:t>发展历程、经营规模及服务理念</w:t>
      </w:r>
      <w:r>
        <w:rPr>
          <w:rFonts w:hint="eastAsia" w:ascii="宋体" w:hAnsi="宋体" w:cs="宋体"/>
          <w:color w:val="auto"/>
          <w:sz w:val="21"/>
          <w:szCs w:val="21"/>
          <w:highlight w:val="none"/>
        </w:rPr>
        <w:t>、技术力量、财务状况、管理水平等方面进行阐述。</w:t>
      </w:r>
    </w:p>
    <w:p>
      <w:pPr>
        <w:spacing w:line="360" w:lineRule="auto"/>
        <w:ind w:left="360"/>
        <w:rPr>
          <w:rFonts w:ascii="宋体" w:hAnsi="宋体" w:cs="宋体"/>
          <w:bCs/>
          <w:color w:val="auto"/>
          <w:sz w:val="21"/>
          <w:szCs w:val="21"/>
          <w:highlight w:val="none"/>
          <w:lang w:val="en-GB"/>
        </w:rPr>
      </w:pPr>
      <w:r>
        <w:rPr>
          <w:rFonts w:hint="eastAsia" w:ascii="宋体" w:hAnsi="宋体" w:cs="宋体"/>
          <w:color w:val="auto"/>
          <w:sz w:val="21"/>
          <w:szCs w:val="21"/>
          <w:highlight w:val="none"/>
        </w:rPr>
        <w:t>图片描述：</w:t>
      </w:r>
      <w:r>
        <w:rPr>
          <w:rFonts w:hint="eastAsia" w:ascii="宋体" w:hAnsi="宋体" w:cs="宋体"/>
          <w:bCs/>
          <w:color w:val="auto"/>
          <w:sz w:val="21"/>
          <w:szCs w:val="21"/>
          <w:highlight w:val="none"/>
          <w:lang w:val="en-GB"/>
        </w:rPr>
        <w:t>经营场所、主要或关键产品介绍、生产场所及工艺流程等。</w:t>
      </w:r>
    </w:p>
    <w:p>
      <w:pPr>
        <w:numPr>
          <w:ilvl w:val="1"/>
          <w:numId w:val="46"/>
        </w:numPr>
        <w:tabs>
          <w:tab w:val="left" w:pos="396"/>
          <w:tab w:val="clear" w:pos="840"/>
        </w:tabs>
        <w:autoSpaceDE/>
        <w:autoSpaceDN/>
        <w:adjustRightInd/>
        <w:spacing w:line="360" w:lineRule="auto"/>
        <w:ind w:left="420"/>
        <w:jc w:val="both"/>
        <w:rPr>
          <w:rFonts w:ascii="宋体" w:hAnsi="宋体" w:cs="宋体"/>
          <w:color w:val="auto"/>
          <w:sz w:val="21"/>
          <w:szCs w:val="21"/>
          <w:highlight w:val="none"/>
        </w:rPr>
      </w:pPr>
      <w:r>
        <w:rPr>
          <w:rFonts w:hint="eastAsia" w:ascii="宋体" w:hAnsi="宋体" w:cs="宋体"/>
          <w:color w:val="auto"/>
          <w:sz w:val="21"/>
          <w:szCs w:val="21"/>
          <w:highlight w:val="none"/>
        </w:rPr>
        <w:t xml:space="preserve">股东及出资信息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89"/>
        <w:gridCol w:w="2049"/>
        <w:gridCol w:w="1957"/>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86" w:type="dxa"/>
            <w:vAlign w:val="center"/>
          </w:tcPr>
          <w:p>
            <w:pPr>
              <w:spacing w:line="360" w:lineRule="auto"/>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序号</w:t>
            </w:r>
          </w:p>
        </w:tc>
        <w:tc>
          <w:tcPr>
            <w:tcW w:w="1489" w:type="dxa"/>
            <w:vAlign w:val="center"/>
          </w:tcPr>
          <w:p>
            <w:pPr>
              <w:spacing w:line="360" w:lineRule="auto"/>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名称</w:t>
            </w:r>
          </w:p>
          <w:p>
            <w:pPr>
              <w:spacing w:line="360" w:lineRule="auto"/>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（姓名）</w:t>
            </w:r>
          </w:p>
        </w:tc>
        <w:tc>
          <w:tcPr>
            <w:tcW w:w="2049" w:type="dxa"/>
            <w:vAlign w:val="center"/>
          </w:tcPr>
          <w:p>
            <w:pPr>
              <w:pStyle w:val="15"/>
              <w:spacing w:before="0" w:beforeAutospacing="0" w:after="0" w:afterAutospacing="0" w:line="360" w:lineRule="auto"/>
              <w:jc w:val="center"/>
              <w:rPr>
                <w:rFonts w:cs="宋体"/>
                <w:color w:val="auto"/>
                <w:kern w:val="2"/>
                <w:sz w:val="21"/>
                <w:szCs w:val="21"/>
                <w:highlight w:val="none"/>
              </w:rPr>
            </w:pPr>
            <w:r>
              <w:rPr>
                <w:rFonts w:hint="eastAsia" w:cs="宋体"/>
                <w:b/>
                <w:bCs/>
                <w:color w:val="auto"/>
                <w:kern w:val="2"/>
                <w:sz w:val="21"/>
                <w:szCs w:val="21"/>
                <w:highlight w:val="none"/>
              </w:rPr>
              <w:t>统一社会信息用代码（身份证号）</w:t>
            </w:r>
          </w:p>
        </w:tc>
        <w:tc>
          <w:tcPr>
            <w:tcW w:w="1957" w:type="dxa"/>
            <w:vAlign w:val="center"/>
          </w:tcPr>
          <w:p>
            <w:pPr>
              <w:pStyle w:val="15"/>
              <w:spacing w:before="0" w:beforeAutospacing="0" w:after="0" w:afterAutospacing="0" w:line="360" w:lineRule="auto"/>
              <w:jc w:val="center"/>
              <w:rPr>
                <w:rFonts w:cs="宋体"/>
                <w:color w:val="auto"/>
                <w:kern w:val="2"/>
                <w:sz w:val="21"/>
                <w:szCs w:val="21"/>
                <w:highlight w:val="none"/>
              </w:rPr>
            </w:pPr>
            <w:r>
              <w:rPr>
                <w:rFonts w:hint="eastAsia" w:cs="宋体"/>
                <w:b/>
                <w:bCs/>
                <w:color w:val="auto"/>
                <w:kern w:val="2"/>
                <w:sz w:val="21"/>
                <w:szCs w:val="21"/>
                <w:highlight w:val="none"/>
              </w:rPr>
              <w:t>出资额</w:t>
            </w:r>
          </w:p>
          <w:p>
            <w:pPr>
              <w:pStyle w:val="15"/>
              <w:spacing w:before="0" w:beforeAutospacing="0" w:after="0" w:afterAutospacing="0" w:line="360" w:lineRule="auto"/>
              <w:jc w:val="center"/>
              <w:rPr>
                <w:rFonts w:cs="宋体"/>
                <w:color w:val="auto"/>
                <w:kern w:val="2"/>
                <w:sz w:val="21"/>
                <w:szCs w:val="21"/>
                <w:highlight w:val="none"/>
              </w:rPr>
            </w:pPr>
            <w:r>
              <w:rPr>
                <w:rFonts w:hint="eastAsia" w:cs="宋体"/>
                <w:b/>
                <w:bCs/>
                <w:color w:val="auto"/>
                <w:kern w:val="2"/>
                <w:sz w:val="21"/>
                <w:szCs w:val="21"/>
                <w:highlight w:val="none"/>
              </w:rPr>
              <w:t>（人民币  万元）</w:t>
            </w:r>
          </w:p>
        </w:tc>
        <w:tc>
          <w:tcPr>
            <w:tcW w:w="1595" w:type="dxa"/>
            <w:vAlign w:val="center"/>
          </w:tcPr>
          <w:p>
            <w:pPr>
              <w:pStyle w:val="15"/>
              <w:spacing w:before="0" w:beforeAutospacing="0" w:after="0" w:afterAutospacing="0" w:line="360" w:lineRule="auto"/>
              <w:jc w:val="center"/>
              <w:rPr>
                <w:rFonts w:cs="宋体"/>
                <w:color w:val="auto"/>
                <w:kern w:val="2"/>
                <w:sz w:val="21"/>
                <w:szCs w:val="21"/>
                <w:highlight w:val="none"/>
              </w:rPr>
            </w:pPr>
            <w:r>
              <w:rPr>
                <w:rFonts w:hint="eastAsia" w:cs="宋体"/>
                <w:b/>
                <w:bCs/>
                <w:color w:val="auto"/>
                <w:kern w:val="2"/>
                <w:sz w:val="21"/>
                <w:szCs w:val="21"/>
                <w:highlight w:val="none"/>
              </w:rPr>
              <w:t>出资方式</w:t>
            </w:r>
          </w:p>
        </w:tc>
        <w:tc>
          <w:tcPr>
            <w:tcW w:w="1595" w:type="dxa"/>
            <w:vAlign w:val="center"/>
          </w:tcPr>
          <w:p>
            <w:pPr>
              <w:pStyle w:val="15"/>
              <w:spacing w:before="0" w:beforeAutospacing="0" w:after="0" w:afterAutospacing="0" w:line="360" w:lineRule="auto"/>
              <w:jc w:val="center"/>
              <w:rPr>
                <w:rFonts w:cs="宋体"/>
                <w:color w:val="auto"/>
                <w:kern w:val="2"/>
                <w:sz w:val="21"/>
                <w:szCs w:val="21"/>
                <w:highlight w:val="none"/>
              </w:rPr>
            </w:pPr>
            <w:r>
              <w:rPr>
                <w:rFonts w:hint="eastAsia" w:cs="宋体"/>
                <w:b/>
                <w:bCs/>
                <w:color w:val="auto"/>
                <w:kern w:val="2"/>
                <w:sz w:val="21"/>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489" w:type="dxa"/>
          </w:tcPr>
          <w:p>
            <w:pPr>
              <w:spacing w:line="360" w:lineRule="auto"/>
              <w:jc w:val="center"/>
              <w:rPr>
                <w:rFonts w:ascii="宋体" w:hAnsi="宋体" w:cs="宋体"/>
                <w:color w:val="auto"/>
                <w:sz w:val="21"/>
                <w:szCs w:val="21"/>
                <w:highlight w:val="none"/>
              </w:rPr>
            </w:pPr>
          </w:p>
        </w:tc>
        <w:tc>
          <w:tcPr>
            <w:tcW w:w="2049" w:type="dxa"/>
          </w:tcPr>
          <w:p>
            <w:pPr>
              <w:spacing w:line="360" w:lineRule="auto"/>
              <w:jc w:val="center"/>
              <w:rPr>
                <w:rFonts w:ascii="宋体" w:hAnsi="宋体" w:cs="宋体"/>
                <w:color w:val="auto"/>
                <w:sz w:val="21"/>
                <w:szCs w:val="21"/>
                <w:highlight w:val="none"/>
              </w:rPr>
            </w:pPr>
          </w:p>
        </w:tc>
        <w:tc>
          <w:tcPr>
            <w:tcW w:w="1957" w:type="dxa"/>
          </w:tcPr>
          <w:p>
            <w:pPr>
              <w:spacing w:line="360" w:lineRule="auto"/>
              <w:jc w:val="center"/>
              <w:rPr>
                <w:rFonts w:ascii="宋体" w:hAnsi="宋体" w:cs="宋体"/>
                <w:color w:val="auto"/>
                <w:sz w:val="21"/>
                <w:szCs w:val="21"/>
                <w:highlight w:val="none"/>
              </w:rPr>
            </w:pPr>
          </w:p>
        </w:tc>
        <w:tc>
          <w:tcPr>
            <w:tcW w:w="1595" w:type="dxa"/>
          </w:tcPr>
          <w:p>
            <w:pPr>
              <w:spacing w:line="360" w:lineRule="auto"/>
              <w:jc w:val="center"/>
              <w:rPr>
                <w:rFonts w:ascii="宋体" w:hAnsi="宋体" w:cs="宋体"/>
                <w:color w:val="auto"/>
                <w:sz w:val="21"/>
                <w:szCs w:val="21"/>
                <w:highlight w:val="none"/>
              </w:rPr>
            </w:pPr>
          </w:p>
        </w:tc>
        <w:tc>
          <w:tcPr>
            <w:tcW w:w="1595" w:type="dxa"/>
          </w:tcPr>
          <w:p>
            <w:pPr>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489" w:type="dxa"/>
          </w:tcPr>
          <w:p>
            <w:pPr>
              <w:spacing w:line="360" w:lineRule="auto"/>
              <w:jc w:val="center"/>
              <w:rPr>
                <w:rFonts w:ascii="宋体" w:hAnsi="宋体" w:cs="宋体"/>
                <w:color w:val="auto"/>
                <w:sz w:val="21"/>
                <w:szCs w:val="21"/>
                <w:highlight w:val="none"/>
              </w:rPr>
            </w:pPr>
          </w:p>
        </w:tc>
        <w:tc>
          <w:tcPr>
            <w:tcW w:w="2049" w:type="dxa"/>
          </w:tcPr>
          <w:p>
            <w:pPr>
              <w:spacing w:line="360" w:lineRule="auto"/>
              <w:jc w:val="center"/>
              <w:rPr>
                <w:rFonts w:ascii="宋体" w:hAnsi="宋体" w:cs="宋体"/>
                <w:color w:val="auto"/>
                <w:sz w:val="21"/>
                <w:szCs w:val="21"/>
                <w:highlight w:val="none"/>
              </w:rPr>
            </w:pPr>
          </w:p>
        </w:tc>
        <w:tc>
          <w:tcPr>
            <w:tcW w:w="1957" w:type="dxa"/>
          </w:tcPr>
          <w:p>
            <w:pPr>
              <w:spacing w:line="360" w:lineRule="auto"/>
              <w:jc w:val="center"/>
              <w:rPr>
                <w:rFonts w:ascii="宋体" w:hAnsi="宋体" w:cs="宋体"/>
                <w:color w:val="auto"/>
                <w:sz w:val="21"/>
                <w:szCs w:val="21"/>
                <w:highlight w:val="none"/>
              </w:rPr>
            </w:pPr>
          </w:p>
        </w:tc>
        <w:tc>
          <w:tcPr>
            <w:tcW w:w="1595" w:type="dxa"/>
          </w:tcPr>
          <w:p>
            <w:pPr>
              <w:spacing w:line="360" w:lineRule="auto"/>
              <w:jc w:val="center"/>
              <w:rPr>
                <w:rFonts w:ascii="宋体" w:hAnsi="宋体" w:cs="宋体"/>
                <w:color w:val="auto"/>
                <w:sz w:val="21"/>
                <w:szCs w:val="21"/>
                <w:highlight w:val="none"/>
              </w:rPr>
            </w:pPr>
          </w:p>
        </w:tc>
        <w:tc>
          <w:tcPr>
            <w:tcW w:w="1595" w:type="dxa"/>
          </w:tcPr>
          <w:p>
            <w:pPr>
              <w:spacing w:line="360" w:lineRule="auto"/>
              <w:jc w:val="center"/>
              <w:rPr>
                <w:rFonts w:ascii="宋体" w:hAnsi="宋体" w:cs="宋体"/>
                <w:color w:val="auto"/>
                <w:sz w:val="21"/>
                <w:szCs w:val="21"/>
                <w:highlight w:val="none"/>
              </w:rPr>
            </w:pPr>
          </w:p>
        </w:tc>
      </w:tr>
    </w:tbl>
    <w:p>
      <w:pPr>
        <w:spacing w:line="360" w:lineRule="auto"/>
        <w:ind w:left="424" w:hanging="424" w:hangingChars="202"/>
        <w:rPr>
          <w:rFonts w:ascii="宋体" w:hAnsi="宋体" w:cs="宋体"/>
          <w:color w:val="auto"/>
          <w:sz w:val="21"/>
          <w:szCs w:val="21"/>
          <w:highlight w:val="none"/>
        </w:rPr>
      </w:pPr>
      <w:r>
        <w:rPr>
          <w:rFonts w:hint="eastAsia" w:ascii="宋体" w:hAnsi="宋体" w:cs="宋体"/>
          <w:color w:val="auto"/>
          <w:sz w:val="21"/>
          <w:szCs w:val="21"/>
          <w:highlight w:val="none"/>
        </w:rPr>
        <w:t>注：1. 主要股东或出资人为法人的，填写法人全称及统一社会信息用代码（尚未办理三证合一的填写组织机构代码）；为自然人的，填写自然人姓名和身份证号。</w:t>
      </w:r>
    </w:p>
    <w:p>
      <w:pPr>
        <w:spacing w:line="360" w:lineRule="auto"/>
        <w:ind w:left="420" w:firstLine="6"/>
        <w:rPr>
          <w:rFonts w:ascii="宋体" w:hAnsi="宋体" w:cs="宋体"/>
          <w:color w:val="auto"/>
          <w:sz w:val="21"/>
          <w:szCs w:val="21"/>
          <w:highlight w:val="none"/>
        </w:rPr>
      </w:pPr>
      <w:r>
        <w:rPr>
          <w:rFonts w:hint="eastAsia" w:ascii="宋体" w:hAnsi="宋体" w:cs="宋体"/>
          <w:color w:val="auto"/>
          <w:sz w:val="21"/>
          <w:szCs w:val="21"/>
          <w:highlight w:val="none"/>
        </w:rPr>
        <w:t>2. 出资方式填写：货币、实物、工艺产权和非专利技术、土地使用权等。</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 投标单位应按照占全部股份比例从大到小依次逐个股东填写，股东数量多于10个的，填写前10名，不足10个全部填写。同时投标人必须附“国家企业信用信息公示系统”网页并加盖投标人单位公章。</w:t>
      </w:r>
    </w:p>
    <w:p>
      <w:pPr>
        <w:numPr>
          <w:ilvl w:val="0"/>
          <w:numId w:val="46"/>
        </w:numPr>
        <w:autoSpaceDE/>
        <w:autoSpaceDN/>
        <w:adjustRightInd/>
        <w:spacing w:line="360" w:lineRule="auto"/>
        <w:jc w:val="both"/>
        <w:rPr>
          <w:rFonts w:ascii="宋体" w:hAnsi="宋体" w:cs="宋体"/>
          <w:color w:val="auto"/>
          <w:sz w:val="21"/>
          <w:szCs w:val="21"/>
          <w:highlight w:val="none"/>
        </w:rPr>
      </w:pPr>
      <w:r>
        <w:rPr>
          <w:rFonts w:hint="eastAsia" w:ascii="宋体" w:hAnsi="宋体" w:cs="宋体"/>
          <w:color w:val="auto"/>
          <w:spacing w:val="-2"/>
          <w:sz w:val="21"/>
          <w:szCs w:val="21"/>
          <w:highlight w:val="none"/>
        </w:rPr>
        <w:t>投标人获得国家有关部门颁发的资质和获奖证书等（如有）</w:t>
      </w:r>
      <w:r>
        <w:rPr>
          <w:rFonts w:hint="eastAsia" w:ascii="宋体" w:hAnsi="宋体" w:cs="宋体"/>
          <w:color w:val="auto"/>
          <w:sz w:val="21"/>
          <w:szCs w:val="21"/>
          <w:highlight w:val="none"/>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49" w:type="dxa"/>
            <w:tcBorders>
              <w:top w:val="single" w:color="auto" w:sz="12" w:space="0"/>
              <w:left w:val="single" w:color="auto" w:sz="12" w:space="0"/>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证书名称</w:t>
            </w:r>
          </w:p>
        </w:tc>
        <w:tc>
          <w:tcPr>
            <w:tcW w:w="2349" w:type="dxa"/>
            <w:tcBorders>
              <w:top w:val="single" w:color="auto" w:sz="12" w:space="0"/>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发证单位</w:t>
            </w:r>
          </w:p>
        </w:tc>
        <w:tc>
          <w:tcPr>
            <w:tcW w:w="2349" w:type="dxa"/>
            <w:tcBorders>
              <w:top w:val="single" w:color="auto" w:sz="12" w:space="0"/>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证书等级</w:t>
            </w:r>
          </w:p>
        </w:tc>
        <w:tc>
          <w:tcPr>
            <w:tcW w:w="2349" w:type="dxa"/>
            <w:tcBorders>
              <w:top w:val="single" w:color="auto" w:sz="12" w:space="0"/>
              <w:right w:val="single" w:color="auto" w:sz="12" w:space="0"/>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tcBorders>
              <w:left w:val="single" w:color="auto" w:sz="12" w:space="0"/>
            </w:tcBorders>
          </w:tcPr>
          <w:p>
            <w:pPr>
              <w:spacing w:line="360" w:lineRule="auto"/>
              <w:jc w:val="center"/>
              <w:rPr>
                <w:rFonts w:ascii="宋体" w:hAnsi="宋体" w:cs="宋体"/>
                <w:color w:val="auto"/>
                <w:sz w:val="21"/>
                <w:szCs w:val="21"/>
                <w:highlight w:val="none"/>
              </w:rPr>
            </w:pPr>
          </w:p>
        </w:tc>
        <w:tc>
          <w:tcPr>
            <w:tcW w:w="2349" w:type="dxa"/>
          </w:tcPr>
          <w:p>
            <w:pPr>
              <w:spacing w:line="360" w:lineRule="auto"/>
              <w:jc w:val="center"/>
              <w:rPr>
                <w:rFonts w:ascii="宋体" w:hAnsi="宋体" w:cs="宋体"/>
                <w:color w:val="auto"/>
                <w:sz w:val="21"/>
                <w:szCs w:val="21"/>
                <w:highlight w:val="none"/>
              </w:rPr>
            </w:pPr>
          </w:p>
        </w:tc>
        <w:tc>
          <w:tcPr>
            <w:tcW w:w="2349" w:type="dxa"/>
          </w:tcPr>
          <w:p>
            <w:pPr>
              <w:spacing w:line="360" w:lineRule="auto"/>
              <w:jc w:val="center"/>
              <w:rPr>
                <w:rFonts w:ascii="宋体" w:hAnsi="宋体" w:cs="宋体"/>
                <w:color w:val="auto"/>
                <w:sz w:val="21"/>
                <w:szCs w:val="21"/>
                <w:highlight w:val="none"/>
              </w:rPr>
            </w:pPr>
          </w:p>
        </w:tc>
        <w:tc>
          <w:tcPr>
            <w:tcW w:w="2349" w:type="dxa"/>
            <w:tcBorders>
              <w:right w:val="single" w:color="auto" w:sz="12" w:space="0"/>
            </w:tcBorders>
          </w:tcPr>
          <w:p>
            <w:pPr>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tcBorders>
              <w:left w:val="single" w:color="auto" w:sz="12" w:space="0"/>
              <w:bottom w:val="single" w:color="auto" w:sz="12" w:space="0"/>
            </w:tcBorders>
          </w:tcPr>
          <w:p>
            <w:pPr>
              <w:spacing w:line="360" w:lineRule="auto"/>
              <w:jc w:val="center"/>
              <w:rPr>
                <w:rFonts w:ascii="宋体" w:hAnsi="宋体" w:cs="宋体"/>
                <w:color w:val="auto"/>
                <w:sz w:val="21"/>
                <w:szCs w:val="21"/>
                <w:highlight w:val="none"/>
              </w:rPr>
            </w:pPr>
          </w:p>
        </w:tc>
        <w:tc>
          <w:tcPr>
            <w:tcW w:w="2349" w:type="dxa"/>
            <w:tcBorders>
              <w:bottom w:val="single" w:color="auto" w:sz="12" w:space="0"/>
            </w:tcBorders>
          </w:tcPr>
          <w:p>
            <w:pPr>
              <w:spacing w:line="360" w:lineRule="auto"/>
              <w:jc w:val="center"/>
              <w:rPr>
                <w:rFonts w:ascii="宋体" w:hAnsi="宋体" w:cs="宋体"/>
                <w:color w:val="auto"/>
                <w:sz w:val="21"/>
                <w:szCs w:val="21"/>
                <w:highlight w:val="none"/>
              </w:rPr>
            </w:pPr>
          </w:p>
        </w:tc>
        <w:tc>
          <w:tcPr>
            <w:tcW w:w="2349" w:type="dxa"/>
            <w:tcBorders>
              <w:bottom w:val="single" w:color="auto" w:sz="12" w:space="0"/>
            </w:tcBorders>
          </w:tcPr>
          <w:p>
            <w:pPr>
              <w:spacing w:line="360" w:lineRule="auto"/>
              <w:jc w:val="center"/>
              <w:rPr>
                <w:rFonts w:ascii="宋体" w:hAnsi="宋体" w:cs="宋体"/>
                <w:color w:val="auto"/>
                <w:sz w:val="21"/>
                <w:szCs w:val="21"/>
                <w:highlight w:val="none"/>
              </w:rPr>
            </w:pPr>
          </w:p>
        </w:tc>
        <w:tc>
          <w:tcPr>
            <w:tcW w:w="2349" w:type="dxa"/>
            <w:tcBorders>
              <w:bottom w:val="single" w:color="auto" w:sz="12" w:space="0"/>
              <w:right w:val="single" w:color="auto" w:sz="12" w:space="0"/>
            </w:tcBorders>
          </w:tcPr>
          <w:p>
            <w:pPr>
              <w:spacing w:line="360" w:lineRule="auto"/>
              <w:jc w:val="center"/>
              <w:rPr>
                <w:rFonts w:ascii="宋体" w:hAnsi="宋体" w:cs="宋体"/>
                <w:color w:val="auto"/>
                <w:sz w:val="21"/>
                <w:szCs w:val="21"/>
                <w:highlight w:val="none"/>
              </w:rPr>
            </w:pPr>
          </w:p>
        </w:tc>
      </w:tr>
    </w:tbl>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我们声明以上所述是正确无误的，您有权进行您认为必要的所有调查，</w:t>
      </w:r>
      <w:r>
        <w:rPr>
          <w:rFonts w:hint="eastAsia" w:ascii="宋体" w:hAnsi="宋体" w:cs="宋体"/>
          <w:color w:val="auto"/>
          <w:sz w:val="21"/>
          <w:szCs w:val="21"/>
          <w:highlight w:val="none"/>
          <w:lang w:val="en-GB"/>
        </w:rPr>
        <w:t>如以上数据有虚假，一经查实，自行承担相关责任。</w:t>
      </w: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投标人名称（单位盖公章）： </w:t>
      </w: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法定代表人或投标人授权代表（签名或盖私章）：</w:t>
      </w:r>
      <w:r>
        <w:rPr>
          <w:rFonts w:hint="eastAsia" w:ascii="宋体" w:hAnsi="宋体" w:cs="宋体"/>
          <w:color w:val="auto"/>
          <w:sz w:val="21"/>
          <w:szCs w:val="21"/>
          <w:highlight w:val="none"/>
        </w:rPr>
        <w:tab/>
      </w: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bCs/>
          <w:color w:val="auto"/>
          <w:sz w:val="21"/>
          <w:szCs w:val="21"/>
          <w:highlight w:val="none"/>
        </w:rPr>
        <w:t>日期：</w:t>
      </w:r>
    </w:p>
    <w:p>
      <w:pPr>
        <w:pStyle w:val="2"/>
        <w:adjustRightInd w:val="0"/>
        <w:snapToGrid w:val="0"/>
        <w:spacing w:before="0" w:after="0" w:line="360" w:lineRule="auto"/>
        <w:jc w:val="center"/>
        <w:rPr>
          <w:rFonts w:ascii="宋体" w:hAnsi="宋体" w:eastAsia="宋体" w:cs="宋体"/>
          <w:b w:val="0"/>
          <w:color w:val="auto"/>
          <w:kern w:val="0"/>
          <w:highlight w:val="none"/>
        </w:rPr>
      </w:pPr>
      <w:r>
        <w:rPr>
          <w:rFonts w:hint="eastAsia" w:ascii="宋体" w:hAnsi="宋体" w:eastAsia="宋体" w:cs="宋体"/>
          <w:b w:val="0"/>
          <w:color w:val="auto"/>
          <w:kern w:val="0"/>
          <w:highlight w:val="none"/>
        </w:rPr>
        <w:t>（九）同类项目业绩情况一览表</w:t>
      </w:r>
    </w:p>
    <w:p>
      <w:pPr>
        <w:rPr>
          <w:color w:val="auto"/>
          <w:highlight w:val="none"/>
        </w:rPr>
      </w:pP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项目名称：中山市火炬科学技术学校小卖部承包经营项目</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项目编号：FH2022CG0113</w:t>
      </w:r>
    </w:p>
    <w:tbl>
      <w:tblPr>
        <w:tblStyle w:val="20"/>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08"/>
        <w:gridCol w:w="1777"/>
        <w:gridCol w:w="1276"/>
        <w:gridCol w:w="256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shd w:val="clear" w:color="auto" w:fill="EEECE1"/>
          </w:tcPr>
          <w:p>
            <w:pPr>
              <w:pStyle w:val="47"/>
              <w:kinsoku w:val="0"/>
              <w:overflowPunct w:val="0"/>
              <w:spacing w:before="85" w:line="360" w:lineRule="auto"/>
              <w:rPr>
                <w:rFonts w:ascii="宋体" w:hAnsi="宋体" w:cs="宋体"/>
                <w:color w:val="auto"/>
                <w:sz w:val="21"/>
                <w:szCs w:val="21"/>
                <w:highlight w:val="none"/>
                <w:lang w:eastAsia="en-US" w:bidi="en-US"/>
              </w:rPr>
            </w:pPr>
            <w:r>
              <w:rPr>
                <w:rFonts w:hint="eastAsia" w:ascii="宋体" w:hAnsi="宋体" w:cs="宋体"/>
                <w:color w:val="auto"/>
                <w:sz w:val="21"/>
                <w:szCs w:val="21"/>
                <w:highlight w:val="none"/>
                <w:lang w:eastAsia="en-US" w:bidi="en-US"/>
              </w:rPr>
              <w:t>序号</w:t>
            </w:r>
          </w:p>
        </w:tc>
        <w:tc>
          <w:tcPr>
            <w:tcW w:w="1908" w:type="dxa"/>
            <w:shd w:val="clear" w:color="auto" w:fill="EEECE1"/>
          </w:tcPr>
          <w:p>
            <w:pPr>
              <w:pStyle w:val="47"/>
              <w:kinsoku w:val="0"/>
              <w:overflowPunct w:val="0"/>
              <w:spacing w:before="85" w:line="360" w:lineRule="auto"/>
              <w:ind w:left="303"/>
              <w:rPr>
                <w:rFonts w:ascii="宋体" w:hAnsi="宋体" w:cs="宋体"/>
                <w:color w:val="auto"/>
                <w:sz w:val="21"/>
                <w:szCs w:val="21"/>
                <w:highlight w:val="none"/>
                <w:lang w:eastAsia="en-US" w:bidi="en-US"/>
              </w:rPr>
            </w:pPr>
            <w:r>
              <w:rPr>
                <w:rFonts w:hint="eastAsia" w:ascii="宋体" w:hAnsi="宋体" w:cs="宋体"/>
                <w:color w:val="auto"/>
                <w:spacing w:val="-1"/>
                <w:sz w:val="21"/>
                <w:szCs w:val="21"/>
                <w:highlight w:val="none"/>
                <w:lang w:eastAsia="en-US" w:bidi="en-US"/>
              </w:rPr>
              <w:t>业主名称</w:t>
            </w:r>
          </w:p>
        </w:tc>
        <w:tc>
          <w:tcPr>
            <w:tcW w:w="1777" w:type="dxa"/>
            <w:shd w:val="clear" w:color="auto" w:fill="EEECE1"/>
          </w:tcPr>
          <w:p>
            <w:pPr>
              <w:pStyle w:val="47"/>
              <w:kinsoku w:val="0"/>
              <w:overflowPunct w:val="0"/>
              <w:spacing w:before="85" w:line="360" w:lineRule="auto"/>
              <w:ind w:left="402"/>
              <w:rPr>
                <w:rFonts w:ascii="宋体" w:hAnsi="宋体" w:cs="宋体"/>
                <w:color w:val="auto"/>
                <w:sz w:val="21"/>
                <w:szCs w:val="21"/>
                <w:highlight w:val="none"/>
                <w:lang w:eastAsia="en-US" w:bidi="en-US"/>
              </w:rPr>
            </w:pPr>
            <w:r>
              <w:rPr>
                <w:rFonts w:hint="eastAsia" w:ascii="宋体" w:hAnsi="宋体" w:cs="宋体"/>
                <w:color w:val="auto"/>
                <w:spacing w:val="-1"/>
                <w:sz w:val="21"/>
                <w:szCs w:val="21"/>
                <w:highlight w:val="none"/>
                <w:lang w:eastAsia="en-US" w:bidi="en-US"/>
              </w:rPr>
              <w:t>项目名称</w:t>
            </w:r>
          </w:p>
        </w:tc>
        <w:tc>
          <w:tcPr>
            <w:tcW w:w="1276" w:type="dxa"/>
            <w:shd w:val="clear" w:color="auto" w:fill="EEECE1"/>
          </w:tcPr>
          <w:p>
            <w:pPr>
              <w:pStyle w:val="47"/>
              <w:kinsoku w:val="0"/>
              <w:overflowPunct w:val="0"/>
              <w:spacing w:before="85" w:line="360" w:lineRule="auto"/>
              <w:ind w:left="2" w:firstLine="33" w:firstLineChars="16"/>
              <w:rPr>
                <w:rFonts w:ascii="宋体" w:hAnsi="宋体" w:cs="宋体"/>
                <w:color w:val="auto"/>
                <w:sz w:val="21"/>
                <w:szCs w:val="21"/>
                <w:highlight w:val="none"/>
                <w:lang w:eastAsia="en-US" w:bidi="en-US"/>
              </w:rPr>
            </w:pPr>
            <w:r>
              <w:rPr>
                <w:rFonts w:hint="eastAsia" w:ascii="宋体" w:hAnsi="宋体" w:cs="宋体"/>
                <w:color w:val="auto"/>
                <w:spacing w:val="-1"/>
                <w:sz w:val="21"/>
                <w:szCs w:val="21"/>
                <w:highlight w:val="none"/>
                <w:lang w:eastAsia="en-US" w:bidi="en-US"/>
              </w:rPr>
              <w:t>合同总价</w:t>
            </w:r>
          </w:p>
        </w:tc>
        <w:tc>
          <w:tcPr>
            <w:tcW w:w="2563" w:type="dxa"/>
            <w:shd w:val="clear" w:color="auto" w:fill="EEECE1"/>
          </w:tcPr>
          <w:p>
            <w:pPr>
              <w:pStyle w:val="47"/>
              <w:kinsoku w:val="0"/>
              <w:overflowPunct w:val="0"/>
              <w:spacing w:before="85" w:line="360" w:lineRule="auto"/>
              <w:rPr>
                <w:rFonts w:ascii="宋体" w:hAnsi="宋体" w:cs="宋体"/>
                <w:color w:val="auto"/>
                <w:sz w:val="21"/>
                <w:szCs w:val="21"/>
                <w:highlight w:val="none"/>
                <w:lang w:bidi="en-US"/>
              </w:rPr>
            </w:pPr>
            <w:r>
              <w:rPr>
                <w:rFonts w:hint="eastAsia" w:ascii="宋体" w:hAnsi="宋体" w:cs="宋体"/>
                <w:color w:val="auto"/>
                <w:spacing w:val="-1"/>
                <w:sz w:val="21"/>
                <w:szCs w:val="21"/>
                <w:highlight w:val="none"/>
                <w:lang w:bidi="en-US"/>
              </w:rPr>
              <w:t>合同签订时间及完成时间</w:t>
            </w:r>
          </w:p>
        </w:tc>
        <w:tc>
          <w:tcPr>
            <w:tcW w:w="1864" w:type="dxa"/>
            <w:shd w:val="clear" w:color="auto" w:fill="EEECE1"/>
          </w:tcPr>
          <w:p>
            <w:pPr>
              <w:pStyle w:val="47"/>
              <w:kinsoku w:val="0"/>
              <w:overflowPunct w:val="0"/>
              <w:spacing w:before="85" w:line="360" w:lineRule="auto"/>
              <w:rPr>
                <w:rFonts w:ascii="宋体" w:hAnsi="宋体" w:cs="宋体"/>
                <w:color w:val="auto"/>
                <w:sz w:val="21"/>
                <w:szCs w:val="21"/>
                <w:highlight w:val="none"/>
                <w:lang w:eastAsia="en-US" w:bidi="en-US"/>
              </w:rPr>
            </w:pPr>
            <w:r>
              <w:rPr>
                <w:rFonts w:hint="eastAsia" w:ascii="宋体" w:hAnsi="宋体" w:cs="宋体"/>
                <w:color w:val="auto"/>
                <w:spacing w:val="-2"/>
                <w:sz w:val="21"/>
                <w:szCs w:val="21"/>
                <w:highlight w:val="none"/>
                <w:lang w:eastAsia="en-US" w:bidi="en-US"/>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908" w:type="dxa"/>
            <w:vAlign w:val="center"/>
          </w:tcPr>
          <w:p>
            <w:pPr>
              <w:spacing w:line="360" w:lineRule="auto"/>
              <w:jc w:val="center"/>
              <w:rPr>
                <w:rFonts w:ascii="宋体" w:hAnsi="宋体" w:cs="宋体"/>
                <w:color w:val="auto"/>
                <w:sz w:val="21"/>
                <w:szCs w:val="21"/>
                <w:highlight w:val="none"/>
              </w:rPr>
            </w:pPr>
          </w:p>
        </w:tc>
        <w:tc>
          <w:tcPr>
            <w:tcW w:w="1777" w:type="dxa"/>
            <w:vAlign w:val="center"/>
          </w:tcPr>
          <w:p>
            <w:pPr>
              <w:spacing w:line="360" w:lineRule="auto"/>
              <w:jc w:val="center"/>
              <w:rPr>
                <w:rFonts w:ascii="宋体" w:hAnsi="宋体" w:cs="宋体"/>
                <w:color w:val="auto"/>
                <w:sz w:val="21"/>
                <w:szCs w:val="21"/>
                <w:highlight w:val="none"/>
              </w:rPr>
            </w:pPr>
          </w:p>
        </w:tc>
        <w:tc>
          <w:tcPr>
            <w:tcW w:w="1276" w:type="dxa"/>
            <w:vAlign w:val="center"/>
          </w:tcPr>
          <w:p>
            <w:pPr>
              <w:spacing w:line="360" w:lineRule="auto"/>
              <w:jc w:val="center"/>
              <w:rPr>
                <w:rFonts w:ascii="宋体" w:hAnsi="宋体" w:cs="宋体"/>
                <w:color w:val="auto"/>
                <w:sz w:val="21"/>
                <w:szCs w:val="21"/>
                <w:highlight w:val="none"/>
              </w:rPr>
            </w:pPr>
          </w:p>
        </w:tc>
        <w:tc>
          <w:tcPr>
            <w:tcW w:w="2563" w:type="dxa"/>
            <w:vAlign w:val="center"/>
          </w:tcPr>
          <w:p>
            <w:pPr>
              <w:spacing w:line="360" w:lineRule="auto"/>
              <w:jc w:val="center"/>
              <w:rPr>
                <w:rFonts w:ascii="宋体" w:hAnsi="宋体" w:cs="宋体"/>
                <w:color w:val="auto"/>
                <w:sz w:val="21"/>
                <w:szCs w:val="21"/>
                <w:highlight w:val="none"/>
              </w:rPr>
            </w:pPr>
          </w:p>
        </w:tc>
        <w:tc>
          <w:tcPr>
            <w:tcW w:w="1864" w:type="dxa"/>
            <w:vAlign w:val="center"/>
          </w:tcPr>
          <w:p>
            <w:pPr>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908" w:type="dxa"/>
            <w:vAlign w:val="center"/>
          </w:tcPr>
          <w:p>
            <w:pPr>
              <w:spacing w:line="360" w:lineRule="auto"/>
              <w:jc w:val="center"/>
              <w:rPr>
                <w:rFonts w:ascii="宋体" w:hAnsi="宋体" w:cs="宋体"/>
                <w:color w:val="auto"/>
                <w:sz w:val="21"/>
                <w:szCs w:val="21"/>
                <w:highlight w:val="none"/>
              </w:rPr>
            </w:pPr>
          </w:p>
        </w:tc>
        <w:tc>
          <w:tcPr>
            <w:tcW w:w="1777" w:type="dxa"/>
            <w:vAlign w:val="center"/>
          </w:tcPr>
          <w:p>
            <w:pPr>
              <w:spacing w:line="360" w:lineRule="auto"/>
              <w:jc w:val="center"/>
              <w:rPr>
                <w:rFonts w:ascii="宋体" w:hAnsi="宋体" w:cs="宋体"/>
                <w:color w:val="auto"/>
                <w:sz w:val="21"/>
                <w:szCs w:val="21"/>
                <w:highlight w:val="none"/>
              </w:rPr>
            </w:pPr>
          </w:p>
        </w:tc>
        <w:tc>
          <w:tcPr>
            <w:tcW w:w="1276" w:type="dxa"/>
            <w:vAlign w:val="center"/>
          </w:tcPr>
          <w:p>
            <w:pPr>
              <w:spacing w:line="360" w:lineRule="auto"/>
              <w:jc w:val="center"/>
              <w:rPr>
                <w:rFonts w:ascii="宋体" w:hAnsi="宋体" w:cs="宋体"/>
                <w:color w:val="auto"/>
                <w:sz w:val="21"/>
                <w:szCs w:val="21"/>
                <w:highlight w:val="none"/>
              </w:rPr>
            </w:pPr>
          </w:p>
        </w:tc>
        <w:tc>
          <w:tcPr>
            <w:tcW w:w="2563" w:type="dxa"/>
            <w:vAlign w:val="center"/>
          </w:tcPr>
          <w:p>
            <w:pPr>
              <w:spacing w:line="360" w:lineRule="auto"/>
              <w:jc w:val="center"/>
              <w:rPr>
                <w:rFonts w:ascii="宋体" w:hAnsi="宋体" w:cs="宋体"/>
                <w:color w:val="auto"/>
                <w:sz w:val="21"/>
                <w:szCs w:val="21"/>
                <w:highlight w:val="none"/>
              </w:rPr>
            </w:pPr>
          </w:p>
        </w:tc>
        <w:tc>
          <w:tcPr>
            <w:tcW w:w="1864" w:type="dxa"/>
            <w:vAlign w:val="center"/>
          </w:tcPr>
          <w:p>
            <w:pPr>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908" w:type="dxa"/>
            <w:vAlign w:val="center"/>
          </w:tcPr>
          <w:p>
            <w:pPr>
              <w:spacing w:line="360" w:lineRule="auto"/>
              <w:jc w:val="center"/>
              <w:rPr>
                <w:rFonts w:ascii="宋体" w:hAnsi="宋体" w:cs="宋体"/>
                <w:color w:val="auto"/>
                <w:sz w:val="21"/>
                <w:szCs w:val="21"/>
                <w:highlight w:val="none"/>
              </w:rPr>
            </w:pPr>
          </w:p>
        </w:tc>
        <w:tc>
          <w:tcPr>
            <w:tcW w:w="1777" w:type="dxa"/>
            <w:vAlign w:val="center"/>
          </w:tcPr>
          <w:p>
            <w:pPr>
              <w:spacing w:line="360" w:lineRule="auto"/>
              <w:jc w:val="center"/>
              <w:rPr>
                <w:rFonts w:ascii="宋体" w:hAnsi="宋体" w:cs="宋体"/>
                <w:color w:val="auto"/>
                <w:sz w:val="21"/>
                <w:szCs w:val="21"/>
                <w:highlight w:val="none"/>
              </w:rPr>
            </w:pPr>
          </w:p>
        </w:tc>
        <w:tc>
          <w:tcPr>
            <w:tcW w:w="1276" w:type="dxa"/>
            <w:vAlign w:val="center"/>
          </w:tcPr>
          <w:p>
            <w:pPr>
              <w:spacing w:line="360" w:lineRule="auto"/>
              <w:jc w:val="center"/>
              <w:rPr>
                <w:rFonts w:ascii="宋体" w:hAnsi="宋体" w:cs="宋体"/>
                <w:color w:val="auto"/>
                <w:sz w:val="21"/>
                <w:szCs w:val="21"/>
                <w:highlight w:val="none"/>
              </w:rPr>
            </w:pPr>
          </w:p>
        </w:tc>
        <w:tc>
          <w:tcPr>
            <w:tcW w:w="2563" w:type="dxa"/>
            <w:vAlign w:val="center"/>
          </w:tcPr>
          <w:p>
            <w:pPr>
              <w:spacing w:line="360" w:lineRule="auto"/>
              <w:jc w:val="center"/>
              <w:rPr>
                <w:rFonts w:ascii="宋体" w:hAnsi="宋体" w:cs="宋体"/>
                <w:color w:val="auto"/>
                <w:sz w:val="21"/>
                <w:szCs w:val="21"/>
                <w:highlight w:val="none"/>
              </w:rPr>
            </w:pPr>
          </w:p>
        </w:tc>
        <w:tc>
          <w:tcPr>
            <w:tcW w:w="1864" w:type="dxa"/>
            <w:vAlign w:val="center"/>
          </w:tcPr>
          <w:p>
            <w:pPr>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908" w:type="dxa"/>
            <w:vAlign w:val="center"/>
          </w:tcPr>
          <w:p>
            <w:pPr>
              <w:spacing w:line="360" w:lineRule="auto"/>
              <w:jc w:val="center"/>
              <w:rPr>
                <w:rFonts w:ascii="宋体" w:hAnsi="宋体" w:cs="宋体"/>
                <w:color w:val="auto"/>
                <w:sz w:val="21"/>
                <w:szCs w:val="21"/>
                <w:highlight w:val="none"/>
              </w:rPr>
            </w:pPr>
          </w:p>
        </w:tc>
        <w:tc>
          <w:tcPr>
            <w:tcW w:w="1777" w:type="dxa"/>
            <w:vAlign w:val="center"/>
          </w:tcPr>
          <w:p>
            <w:pPr>
              <w:spacing w:line="360" w:lineRule="auto"/>
              <w:jc w:val="center"/>
              <w:rPr>
                <w:rFonts w:ascii="宋体" w:hAnsi="宋体" w:cs="宋体"/>
                <w:color w:val="auto"/>
                <w:sz w:val="21"/>
                <w:szCs w:val="21"/>
                <w:highlight w:val="none"/>
              </w:rPr>
            </w:pPr>
          </w:p>
        </w:tc>
        <w:tc>
          <w:tcPr>
            <w:tcW w:w="1276" w:type="dxa"/>
            <w:vAlign w:val="center"/>
          </w:tcPr>
          <w:p>
            <w:pPr>
              <w:spacing w:line="360" w:lineRule="auto"/>
              <w:jc w:val="center"/>
              <w:rPr>
                <w:rFonts w:ascii="宋体" w:hAnsi="宋体" w:cs="宋体"/>
                <w:color w:val="auto"/>
                <w:sz w:val="21"/>
                <w:szCs w:val="21"/>
                <w:highlight w:val="none"/>
              </w:rPr>
            </w:pPr>
          </w:p>
        </w:tc>
        <w:tc>
          <w:tcPr>
            <w:tcW w:w="2563" w:type="dxa"/>
            <w:vAlign w:val="center"/>
          </w:tcPr>
          <w:p>
            <w:pPr>
              <w:spacing w:line="360" w:lineRule="auto"/>
              <w:jc w:val="center"/>
              <w:rPr>
                <w:rFonts w:ascii="宋体" w:hAnsi="宋体" w:cs="宋体"/>
                <w:color w:val="auto"/>
                <w:sz w:val="21"/>
                <w:szCs w:val="21"/>
                <w:highlight w:val="none"/>
              </w:rPr>
            </w:pPr>
          </w:p>
        </w:tc>
        <w:tc>
          <w:tcPr>
            <w:tcW w:w="1864" w:type="dxa"/>
            <w:vAlign w:val="center"/>
          </w:tcPr>
          <w:p>
            <w:pPr>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908" w:type="dxa"/>
            <w:vAlign w:val="center"/>
          </w:tcPr>
          <w:p>
            <w:pPr>
              <w:spacing w:line="360" w:lineRule="auto"/>
              <w:jc w:val="center"/>
              <w:rPr>
                <w:rFonts w:ascii="宋体" w:hAnsi="宋体" w:cs="宋体"/>
                <w:color w:val="auto"/>
                <w:sz w:val="21"/>
                <w:szCs w:val="21"/>
                <w:highlight w:val="none"/>
              </w:rPr>
            </w:pPr>
          </w:p>
        </w:tc>
        <w:tc>
          <w:tcPr>
            <w:tcW w:w="1777" w:type="dxa"/>
            <w:vAlign w:val="center"/>
          </w:tcPr>
          <w:p>
            <w:pPr>
              <w:spacing w:line="360" w:lineRule="auto"/>
              <w:jc w:val="center"/>
              <w:rPr>
                <w:rFonts w:ascii="宋体" w:hAnsi="宋体" w:cs="宋体"/>
                <w:color w:val="auto"/>
                <w:sz w:val="21"/>
                <w:szCs w:val="21"/>
                <w:highlight w:val="none"/>
              </w:rPr>
            </w:pPr>
          </w:p>
        </w:tc>
        <w:tc>
          <w:tcPr>
            <w:tcW w:w="1276" w:type="dxa"/>
            <w:vAlign w:val="center"/>
          </w:tcPr>
          <w:p>
            <w:pPr>
              <w:spacing w:line="360" w:lineRule="auto"/>
              <w:jc w:val="center"/>
              <w:rPr>
                <w:rFonts w:ascii="宋体" w:hAnsi="宋体" w:cs="宋体"/>
                <w:color w:val="auto"/>
                <w:sz w:val="21"/>
                <w:szCs w:val="21"/>
                <w:highlight w:val="none"/>
              </w:rPr>
            </w:pPr>
          </w:p>
        </w:tc>
        <w:tc>
          <w:tcPr>
            <w:tcW w:w="2563" w:type="dxa"/>
            <w:vAlign w:val="center"/>
          </w:tcPr>
          <w:p>
            <w:pPr>
              <w:spacing w:line="360" w:lineRule="auto"/>
              <w:jc w:val="center"/>
              <w:rPr>
                <w:rFonts w:ascii="宋体" w:hAnsi="宋体" w:cs="宋体"/>
                <w:color w:val="auto"/>
                <w:sz w:val="21"/>
                <w:szCs w:val="21"/>
                <w:highlight w:val="none"/>
              </w:rPr>
            </w:pPr>
          </w:p>
        </w:tc>
        <w:tc>
          <w:tcPr>
            <w:tcW w:w="1864" w:type="dxa"/>
            <w:vAlign w:val="center"/>
          </w:tcPr>
          <w:p>
            <w:pPr>
              <w:spacing w:line="360" w:lineRule="auto"/>
              <w:jc w:val="center"/>
              <w:rPr>
                <w:rFonts w:ascii="宋体" w:hAnsi="宋体" w:cs="宋体"/>
                <w:color w:val="auto"/>
                <w:sz w:val="21"/>
                <w:szCs w:val="21"/>
                <w:highlight w:val="none"/>
              </w:rPr>
            </w:pPr>
          </w:p>
        </w:tc>
      </w:tr>
    </w:tbl>
    <w:p>
      <w:pPr>
        <w:snapToGrid w:val="0"/>
        <w:spacing w:line="360" w:lineRule="auto"/>
        <w:ind w:left="640" w:hanging="640" w:hangingChars="305"/>
        <w:rPr>
          <w:rFonts w:ascii="宋体" w:hAnsi="宋体" w:cs="宋体"/>
          <w:color w:val="auto"/>
          <w:sz w:val="21"/>
          <w:szCs w:val="21"/>
          <w:highlight w:val="none"/>
        </w:rPr>
      </w:pPr>
      <w:r>
        <w:rPr>
          <w:rFonts w:hint="eastAsia" w:ascii="宋体" w:hAnsi="宋体" w:cs="宋体"/>
          <w:bCs/>
          <w:color w:val="auto"/>
          <w:sz w:val="21"/>
          <w:szCs w:val="21"/>
          <w:highlight w:val="none"/>
        </w:rPr>
        <w:t>备注：根据评分表的要求提交相应资料。</w:t>
      </w:r>
    </w:p>
    <w:p>
      <w:pPr>
        <w:spacing w:line="360" w:lineRule="auto"/>
        <w:rPr>
          <w:rFonts w:ascii="宋体" w:hAnsi="宋体" w:cs="宋体"/>
          <w:color w:val="auto"/>
          <w:sz w:val="21"/>
          <w:szCs w:val="21"/>
          <w:highlight w:val="none"/>
        </w:rPr>
      </w:pPr>
    </w:p>
    <w:p>
      <w:pPr>
        <w:spacing w:line="360" w:lineRule="auto"/>
        <w:rPr>
          <w:rFonts w:ascii="宋体" w:hAnsi="宋体" w:cs="宋体"/>
          <w:color w:val="auto"/>
          <w:sz w:val="21"/>
          <w:szCs w:val="21"/>
          <w:highlight w:val="none"/>
        </w:rPr>
      </w:pP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投标人名称（单位盖公章）： </w:t>
      </w: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法定代表人或投标人授权代表（签名或盖私章）：</w:t>
      </w:r>
      <w:r>
        <w:rPr>
          <w:rFonts w:hint="eastAsia" w:ascii="宋体" w:hAnsi="宋体" w:cs="宋体"/>
          <w:color w:val="auto"/>
          <w:sz w:val="21"/>
          <w:szCs w:val="21"/>
          <w:highlight w:val="none"/>
        </w:rPr>
        <w:tab/>
      </w: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bCs/>
          <w:color w:val="auto"/>
          <w:sz w:val="21"/>
          <w:szCs w:val="21"/>
          <w:highlight w:val="none"/>
        </w:rPr>
        <w:t>日期：</w:t>
      </w:r>
    </w:p>
    <w:p>
      <w:pPr>
        <w:autoSpaceDE/>
        <w:autoSpaceDN/>
        <w:adjustRightInd/>
        <w:spacing w:line="360" w:lineRule="auto"/>
        <w:ind w:right="80" w:rightChars="40"/>
        <w:jc w:val="both"/>
        <w:rPr>
          <w:rFonts w:ascii="宋体" w:hAnsi="宋体" w:cs="宋体"/>
          <w:color w:val="auto"/>
          <w:spacing w:val="4"/>
          <w:highlight w:val="none"/>
          <w:u w:val="single"/>
        </w:rPr>
      </w:pPr>
    </w:p>
    <w:p>
      <w:pPr>
        <w:autoSpaceDE/>
        <w:autoSpaceDN/>
        <w:adjustRightInd/>
        <w:spacing w:line="360" w:lineRule="auto"/>
        <w:ind w:right="80" w:rightChars="40"/>
        <w:jc w:val="both"/>
        <w:rPr>
          <w:rFonts w:ascii="宋体" w:hAnsi="宋体" w:cs="宋体"/>
          <w:color w:val="auto"/>
          <w:spacing w:val="4"/>
          <w:highlight w:val="none"/>
          <w:u w:val="single"/>
        </w:rPr>
      </w:pPr>
    </w:p>
    <w:p>
      <w:pPr>
        <w:autoSpaceDE/>
        <w:autoSpaceDN/>
        <w:adjustRightInd/>
        <w:spacing w:line="360" w:lineRule="auto"/>
        <w:ind w:right="80" w:rightChars="40"/>
        <w:jc w:val="both"/>
        <w:rPr>
          <w:rFonts w:ascii="宋体" w:hAnsi="宋体" w:cs="宋体"/>
          <w:color w:val="auto"/>
          <w:spacing w:val="4"/>
          <w:highlight w:val="none"/>
          <w:u w:val="single"/>
        </w:rPr>
      </w:pPr>
    </w:p>
    <w:p>
      <w:pPr>
        <w:autoSpaceDE/>
        <w:autoSpaceDN/>
        <w:adjustRightInd/>
        <w:spacing w:line="360" w:lineRule="auto"/>
        <w:ind w:right="80" w:rightChars="40"/>
        <w:jc w:val="both"/>
        <w:rPr>
          <w:rFonts w:ascii="宋体" w:hAnsi="宋体" w:cs="宋体"/>
          <w:color w:val="auto"/>
          <w:spacing w:val="4"/>
          <w:highlight w:val="none"/>
          <w:u w:val="single"/>
        </w:rPr>
      </w:pPr>
    </w:p>
    <w:p>
      <w:pPr>
        <w:autoSpaceDE/>
        <w:autoSpaceDN/>
        <w:adjustRightInd/>
        <w:spacing w:line="360" w:lineRule="auto"/>
        <w:ind w:right="80" w:rightChars="40"/>
        <w:jc w:val="both"/>
        <w:rPr>
          <w:rFonts w:ascii="宋体" w:hAnsi="宋体" w:cs="宋体"/>
          <w:color w:val="auto"/>
          <w:spacing w:val="4"/>
          <w:highlight w:val="none"/>
          <w:u w:val="single"/>
        </w:rPr>
      </w:pPr>
    </w:p>
    <w:p>
      <w:pPr>
        <w:autoSpaceDE/>
        <w:autoSpaceDN/>
        <w:adjustRightInd/>
        <w:spacing w:line="360" w:lineRule="auto"/>
        <w:ind w:right="80" w:rightChars="40"/>
        <w:jc w:val="both"/>
        <w:rPr>
          <w:rFonts w:ascii="宋体" w:hAnsi="宋体" w:cs="宋体"/>
          <w:color w:val="auto"/>
          <w:spacing w:val="4"/>
          <w:highlight w:val="none"/>
          <w:u w:val="single"/>
        </w:rPr>
      </w:pPr>
    </w:p>
    <w:p>
      <w:pPr>
        <w:autoSpaceDE/>
        <w:autoSpaceDN/>
        <w:adjustRightInd/>
        <w:spacing w:line="360" w:lineRule="auto"/>
        <w:ind w:right="80" w:rightChars="40"/>
        <w:jc w:val="both"/>
        <w:rPr>
          <w:rFonts w:ascii="宋体" w:hAnsi="宋体" w:cs="宋体"/>
          <w:color w:val="auto"/>
          <w:spacing w:val="4"/>
          <w:highlight w:val="none"/>
          <w:u w:val="single"/>
        </w:rPr>
      </w:pPr>
    </w:p>
    <w:p>
      <w:pPr>
        <w:autoSpaceDE/>
        <w:autoSpaceDN/>
        <w:adjustRightInd/>
        <w:spacing w:line="360" w:lineRule="auto"/>
        <w:ind w:right="80" w:rightChars="40"/>
        <w:jc w:val="both"/>
        <w:rPr>
          <w:rFonts w:ascii="宋体" w:hAnsi="宋体" w:cs="宋体"/>
          <w:color w:val="auto"/>
          <w:spacing w:val="4"/>
          <w:highlight w:val="none"/>
          <w:u w:val="single"/>
        </w:rPr>
      </w:pPr>
    </w:p>
    <w:p>
      <w:pPr>
        <w:autoSpaceDE/>
        <w:autoSpaceDN/>
        <w:adjustRightInd/>
        <w:spacing w:line="360" w:lineRule="auto"/>
        <w:ind w:right="80" w:rightChars="40"/>
        <w:jc w:val="both"/>
        <w:rPr>
          <w:rFonts w:ascii="宋体" w:hAnsi="宋体" w:cs="宋体"/>
          <w:color w:val="auto"/>
          <w:spacing w:val="4"/>
          <w:highlight w:val="none"/>
          <w:u w:val="single"/>
        </w:rPr>
      </w:pPr>
    </w:p>
    <w:p>
      <w:pPr>
        <w:autoSpaceDE/>
        <w:autoSpaceDN/>
        <w:adjustRightInd/>
        <w:spacing w:line="360" w:lineRule="auto"/>
        <w:ind w:right="80" w:rightChars="40"/>
        <w:jc w:val="both"/>
        <w:rPr>
          <w:rFonts w:ascii="宋体" w:hAnsi="宋体" w:cs="宋体"/>
          <w:color w:val="auto"/>
          <w:spacing w:val="4"/>
          <w:highlight w:val="none"/>
          <w:u w:val="single"/>
        </w:rPr>
      </w:pPr>
    </w:p>
    <w:p>
      <w:pPr>
        <w:autoSpaceDE/>
        <w:autoSpaceDN/>
        <w:adjustRightInd/>
        <w:spacing w:line="360" w:lineRule="auto"/>
        <w:ind w:right="80" w:rightChars="40"/>
        <w:jc w:val="both"/>
        <w:rPr>
          <w:rFonts w:ascii="宋体" w:hAnsi="宋体" w:cs="宋体"/>
          <w:color w:val="auto"/>
          <w:spacing w:val="4"/>
          <w:highlight w:val="none"/>
          <w:u w:val="single"/>
        </w:rPr>
      </w:pPr>
    </w:p>
    <w:p>
      <w:pPr>
        <w:rPr>
          <w:rFonts w:ascii="宋体" w:hAnsi="宋体" w:cs="宋体"/>
          <w:color w:val="auto"/>
          <w:highlight w:val="none"/>
        </w:rPr>
      </w:pPr>
      <w:r>
        <w:rPr>
          <w:rFonts w:hint="eastAsia" w:ascii="宋体" w:hAnsi="宋体" w:cs="宋体"/>
          <w:color w:val="auto"/>
          <w:highlight w:val="none"/>
        </w:rPr>
        <w:br w:type="page"/>
      </w:r>
    </w:p>
    <w:p>
      <w:pPr>
        <w:pStyle w:val="2"/>
        <w:adjustRightInd w:val="0"/>
        <w:snapToGrid w:val="0"/>
        <w:spacing w:before="156" w:beforeLines="50" w:after="156" w:afterLines="50" w:line="360" w:lineRule="auto"/>
        <w:jc w:val="center"/>
        <w:rPr>
          <w:rFonts w:ascii="宋体" w:hAnsi="宋体" w:eastAsia="宋体" w:cs="宋体"/>
          <w:b w:val="0"/>
          <w:color w:val="auto"/>
          <w:highlight w:val="none"/>
        </w:rPr>
      </w:pPr>
      <w:r>
        <w:rPr>
          <w:rFonts w:hint="eastAsia" w:ascii="宋体" w:hAnsi="宋体" w:eastAsia="宋体" w:cs="宋体"/>
          <w:b w:val="0"/>
          <w:color w:val="auto"/>
          <w:kern w:val="0"/>
          <w:highlight w:val="none"/>
        </w:rPr>
        <w:t>（十）</w:t>
      </w:r>
      <w:r>
        <w:rPr>
          <w:rFonts w:hint="eastAsia" w:ascii="宋体" w:hAnsi="宋体" w:eastAsia="宋体" w:cs="宋体"/>
          <w:b w:val="0"/>
          <w:color w:val="auto"/>
          <w:highlight w:val="none"/>
        </w:rPr>
        <w:t>项目负责人及服务团队成员一览表</w:t>
      </w:r>
    </w:p>
    <w:p>
      <w:pPr>
        <w:spacing w:line="360" w:lineRule="auto"/>
        <w:ind w:left="400" w:leftChars="200"/>
        <w:rPr>
          <w:rFonts w:ascii="宋体" w:hAnsi="宋体" w:cs="宋体"/>
          <w:color w:val="auto"/>
          <w:sz w:val="21"/>
          <w:szCs w:val="21"/>
          <w:highlight w:val="none"/>
        </w:rPr>
      </w:pPr>
      <w:r>
        <w:rPr>
          <w:rFonts w:hint="eastAsia" w:ascii="宋体" w:hAnsi="宋体" w:cs="宋体"/>
          <w:color w:val="auto"/>
          <w:sz w:val="21"/>
          <w:szCs w:val="21"/>
          <w:highlight w:val="none"/>
        </w:rPr>
        <w:t>项目名称：中山市火炬科学技术学校小卖部承包经营项目</w:t>
      </w:r>
    </w:p>
    <w:p>
      <w:pPr>
        <w:spacing w:line="360" w:lineRule="auto"/>
        <w:ind w:left="400" w:leftChars="200"/>
        <w:rPr>
          <w:rFonts w:ascii="宋体" w:hAnsi="宋体" w:cs="宋体"/>
          <w:color w:val="auto"/>
          <w:sz w:val="21"/>
          <w:szCs w:val="21"/>
          <w:highlight w:val="none"/>
        </w:rPr>
      </w:pPr>
      <w:r>
        <w:rPr>
          <w:rFonts w:hint="eastAsia" w:ascii="宋体" w:hAnsi="宋体" w:cs="宋体"/>
          <w:color w:val="auto"/>
          <w:sz w:val="21"/>
          <w:szCs w:val="21"/>
          <w:highlight w:val="none"/>
        </w:rPr>
        <w:t>项目编号：FH2022CG0113</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37"/>
        <w:gridCol w:w="826"/>
        <w:gridCol w:w="825"/>
        <w:gridCol w:w="825"/>
        <w:gridCol w:w="1054"/>
        <w:gridCol w:w="122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39" w:type="dxa"/>
            <w:shd w:val="clear" w:color="auto" w:fill="EEECE1"/>
            <w:vAlign w:val="center"/>
          </w:tcPr>
          <w:p>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037" w:type="dxa"/>
            <w:shd w:val="clear" w:color="auto" w:fill="EEECE1"/>
            <w:vAlign w:val="center"/>
          </w:tcPr>
          <w:p>
            <w:pPr>
              <w:pStyle w:val="28"/>
              <w:keepNext w:val="0"/>
              <w:snapToGrid w:val="0"/>
              <w:spacing w:before="0" w:after="0" w:line="360" w:lineRule="auto"/>
              <w:textAlignment w:val="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姓名</w:t>
            </w:r>
          </w:p>
        </w:tc>
        <w:tc>
          <w:tcPr>
            <w:tcW w:w="826" w:type="dxa"/>
            <w:shd w:val="clear" w:color="auto" w:fill="EEECE1"/>
            <w:vAlign w:val="center"/>
          </w:tcPr>
          <w:p>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性别</w:t>
            </w:r>
          </w:p>
        </w:tc>
        <w:tc>
          <w:tcPr>
            <w:tcW w:w="825" w:type="dxa"/>
            <w:shd w:val="clear" w:color="auto" w:fill="EEECE1"/>
            <w:vAlign w:val="center"/>
          </w:tcPr>
          <w:p>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年龄</w:t>
            </w:r>
          </w:p>
        </w:tc>
        <w:tc>
          <w:tcPr>
            <w:tcW w:w="825" w:type="dxa"/>
            <w:shd w:val="clear" w:color="auto" w:fill="EEECE1"/>
            <w:vAlign w:val="center"/>
          </w:tcPr>
          <w:p>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学历</w:t>
            </w:r>
          </w:p>
        </w:tc>
        <w:tc>
          <w:tcPr>
            <w:tcW w:w="1054" w:type="dxa"/>
            <w:shd w:val="clear" w:color="auto" w:fill="EEECE1"/>
            <w:vAlign w:val="center"/>
          </w:tcPr>
          <w:p>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职称/资格证书</w:t>
            </w:r>
          </w:p>
        </w:tc>
        <w:tc>
          <w:tcPr>
            <w:tcW w:w="1221" w:type="dxa"/>
            <w:shd w:val="clear" w:color="auto" w:fill="EEECE1"/>
            <w:vAlign w:val="center"/>
          </w:tcPr>
          <w:p>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专业</w:t>
            </w:r>
          </w:p>
        </w:tc>
        <w:tc>
          <w:tcPr>
            <w:tcW w:w="1246" w:type="dxa"/>
            <w:shd w:val="clear" w:color="auto" w:fill="EEECE1"/>
            <w:vAlign w:val="center"/>
          </w:tcPr>
          <w:p>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经验年限</w:t>
            </w:r>
          </w:p>
        </w:tc>
        <w:tc>
          <w:tcPr>
            <w:tcW w:w="1686" w:type="dxa"/>
            <w:shd w:val="clear" w:color="auto" w:fill="EEECE1"/>
            <w:vAlign w:val="center"/>
          </w:tcPr>
          <w:p>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vAlign w:val="center"/>
          </w:tcPr>
          <w:p>
            <w:pPr>
              <w:spacing w:line="360" w:lineRule="auto"/>
              <w:jc w:val="center"/>
              <w:rPr>
                <w:rFonts w:ascii="宋体" w:hAnsi="宋体" w:cs="宋体"/>
                <w:color w:val="auto"/>
                <w:sz w:val="21"/>
                <w:szCs w:val="21"/>
                <w:highlight w:val="none"/>
              </w:rPr>
            </w:pPr>
          </w:p>
        </w:tc>
        <w:tc>
          <w:tcPr>
            <w:tcW w:w="1037" w:type="dxa"/>
            <w:vAlign w:val="center"/>
          </w:tcPr>
          <w:p>
            <w:pPr>
              <w:spacing w:line="360" w:lineRule="auto"/>
              <w:jc w:val="center"/>
              <w:rPr>
                <w:rFonts w:ascii="宋体" w:hAnsi="宋体" w:cs="宋体"/>
                <w:color w:val="auto"/>
                <w:sz w:val="21"/>
                <w:szCs w:val="21"/>
                <w:highlight w:val="none"/>
              </w:rPr>
            </w:pPr>
          </w:p>
        </w:tc>
        <w:tc>
          <w:tcPr>
            <w:tcW w:w="826" w:type="dxa"/>
            <w:vAlign w:val="center"/>
          </w:tcPr>
          <w:p>
            <w:pPr>
              <w:spacing w:line="360" w:lineRule="auto"/>
              <w:jc w:val="center"/>
              <w:rPr>
                <w:rFonts w:ascii="宋体" w:hAnsi="宋体" w:cs="宋体"/>
                <w:color w:val="auto"/>
                <w:sz w:val="21"/>
                <w:szCs w:val="21"/>
                <w:highlight w:val="none"/>
              </w:rPr>
            </w:pPr>
          </w:p>
        </w:tc>
        <w:tc>
          <w:tcPr>
            <w:tcW w:w="825" w:type="dxa"/>
            <w:vAlign w:val="center"/>
          </w:tcPr>
          <w:p>
            <w:pPr>
              <w:spacing w:line="360" w:lineRule="auto"/>
              <w:jc w:val="center"/>
              <w:rPr>
                <w:rFonts w:ascii="宋体" w:hAnsi="宋体" w:cs="宋体"/>
                <w:color w:val="auto"/>
                <w:sz w:val="21"/>
                <w:szCs w:val="21"/>
                <w:highlight w:val="none"/>
              </w:rPr>
            </w:pPr>
          </w:p>
        </w:tc>
        <w:tc>
          <w:tcPr>
            <w:tcW w:w="825" w:type="dxa"/>
            <w:vAlign w:val="center"/>
          </w:tcPr>
          <w:p>
            <w:pPr>
              <w:spacing w:line="360" w:lineRule="auto"/>
              <w:jc w:val="center"/>
              <w:rPr>
                <w:rFonts w:ascii="宋体" w:hAnsi="宋体" w:cs="宋体"/>
                <w:color w:val="auto"/>
                <w:sz w:val="21"/>
                <w:szCs w:val="21"/>
                <w:highlight w:val="none"/>
              </w:rPr>
            </w:pPr>
          </w:p>
        </w:tc>
        <w:tc>
          <w:tcPr>
            <w:tcW w:w="1054" w:type="dxa"/>
            <w:vAlign w:val="center"/>
          </w:tcPr>
          <w:p>
            <w:pPr>
              <w:spacing w:line="360" w:lineRule="auto"/>
              <w:jc w:val="center"/>
              <w:rPr>
                <w:rFonts w:ascii="宋体" w:hAnsi="宋体" w:cs="宋体"/>
                <w:color w:val="auto"/>
                <w:sz w:val="21"/>
                <w:szCs w:val="21"/>
                <w:highlight w:val="none"/>
              </w:rPr>
            </w:pPr>
          </w:p>
        </w:tc>
        <w:tc>
          <w:tcPr>
            <w:tcW w:w="1221" w:type="dxa"/>
            <w:vAlign w:val="center"/>
          </w:tcPr>
          <w:p>
            <w:pPr>
              <w:spacing w:line="360" w:lineRule="auto"/>
              <w:jc w:val="center"/>
              <w:rPr>
                <w:rFonts w:ascii="宋体" w:hAnsi="宋体" w:cs="宋体"/>
                <w:color w:val="auto"/>
                <w:sz w:val="21"/>
                <w:szCs w:val="21"/>
                <w:highlight w:val="none"/>
              </w:rPr>
            </w:pPr>
          </w:p>
        </w:tc>
        <w:tc>
          <w:tcPr>
            <w:tcW w:w="1246" w:type="dxa"/>
            <w:vAlign w:val="center"/>
          </w:tcPr>
          <w:p>
            <w:pPr>
              <w:spacing w:line="360" w:lineRule="auto"/>
              <w:jc w:val="center"/>
              <w:rPr>
                <w:rFonts w:ascii="宋体" w:hAnsi="宋体" w:cs="宋体"/>
                <w:color w:val="auto"/>
                <w:sz w:val="21"/>
                <w:szCs w:val="21"/>
                <w:highlight w:val="none"/>
              </w:rPr>
            </w:pPr>
          </w:p>
        </w:tc>
        <w:tc>
          <w:tcPr>
            <w:tcW w:w="1686" w:type="dxa"/>
            <w:vAlign w:val="center"/>
          </w:tcPr>
          <w:p>
            <w:pPr>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vAlign w:val="center"/>
          </w:tcPr>
          <w:p>
            <w:pPr>
              <w:spacing w:line="360" w:lineRule="auto"/>
              <w:jc w:val="center"/>
              <w:rPr>
                <w:rFonts w:ascii="宋体" w:hAnsi="宋体" w:cs="宋体"/>
                <w:color w:val="auto"/>
                <w:sz w:val="21"/>
                <w:szCs w:val="21"/>
                <w:highlight w:val="none"/>
              </w:rPr>
            </w:pPr>
          </w:p>
        </w:tc>
        <w:tc>
          <w:tcPr>
            <w:tcW w:w="1037" w:type="dxa"/>
            <w:vAlign w:val="center"/>
          </w:tcPr>
          <w:p>
            <w:pPr>
              <w:spacing w:line="360" w:lineRule="auto"/>
              <w:jc w:val="center"/>
              <w:rPr>
                <w:rFonts w:ascii="宋体" w:hAnsi="宋体" w:cs="宋体"/>
                <w:color w:val="auto"/>
                <w:sz w:val="21"/>
                <w:szCs w:val="21"/>
                <w:highlight w:val="none"/>
              </w:rPr>
            </w:pPr>
          </w:p>
        </w:tc>
        <w:tc>
          <w:tcPr>
            <w:tcW w:w="826" w:type="dxa"/>
            <w:vAlign w:val="center"/>
          </w:tcPr>
          <w:p>
            <w:pPr>
              <w:spacing w:line="360" w:lineRule="auto"/>
              <w:jc w:val="center"/>
              <w:rPr>
                <w:rFonts w:ascii="宋体" w:hAnsi="宋体" w:cs="宋体"/>
                <w:color w:val="auto"/>
                <w:sz w:val="21"/>
                <w:szCs w:val="21"/>
                <w:highlight w:val="none"/>
              </w:rPr>
            </w:pPr>
          </w:p>
        </w:tc>
        <w:tc>
          <w:tcPr>
            <w:tcW w:w="825" w:type="dxa"/>
            <w:vAlign w:val="center"/>
          </w:tcPr>
          <w:p>
            <w:pPr>
              <w:spacing w:line="360" w:lineRule="auto"/>
              <w:jc w:val="center"/>
              <w:rPr>
                <w:rFonts w:ascii="宋体" w:hAnsi="宋体" w:cs="宋体"/>
                <w:color w:val="auto"/>
                <w:sz w:val="21"/>
                <w:szCs w:val="21"/>
                <w:highlight w:val="none"/>
              </w:rPr>
            </w:pPr>
          </w:p>
        </w:tc>
        <w:tc>
          <w:tcPr>
            <w:tcW w:w="825" w:type="dxa"/>
            <w:vAlign w:val="center"/>
          </w:tcPr>
          <w:p>
            <w:pPr>
              <w:spacing w:line="360" w:lineRule="auto"/>
              <w:jc w:val="center"/>
              <w:rPr>
                <w:rFonts w:ascii="宋体" w:hAnsi="宋体" w:cs="宋体"/>
                <w:color w:val="auto"/>
                <w:sz w:val="21"/>
                <w:szCs w:val="21"/>
                <w:highlight w:val="none"/>
              </w:rPr>
            </w:pPr>
          </w:p>
        </w:tc>
        <w:tc>
          <w:tcPr>
            <w:tcW w:w="1054" w:type="dxa"/>
            <w:vAlign w:val="center"/>
          </w:tcPr>
          <w:p>
            <w:pPr>
              <w:spacing w:line="360" w:lineRule="auto"/>
              <w:jc w:val="center"/>
              <w:rPr>
                <w:rFonts w:ascii="宋体" w:hAnsi="宋体" w:cs="宋体"/>
                <w:color w:val="auto"/>
                <w:sz w:val="21"/>
                <w:szCs w:val="21"/>
                <w:highlight w:val="none"/>
              </w:rPr>
            </w:pPr>
          </w:p>
        </w:tc>
        <w:tc>
          <w:tcPr>
            <w:tcW w:w="1221" w:type="dxa"/>
            <w:vAlign w:val="center"/>
          </w:tcPr>
          <w:p>
            <w:pPr>
              <w:spacing w:line="360" w:lineRule="auto"/>
              <w:jc w:val="center"/>
              <w:rPr>
                <w:rFonts w:ascii="宋体" w:hAnsi="宋体" w:cs="宋体"/>
                <w:color w:val="auto"/>
                <w:sz w:val="21"/>
                <w:szCs w:val="21"/>
                <w:highlight w:val="none"/>
              </w:rPr>
            </w:pPr>
          </w:p>
        </w:tc>
        <w:tc>
          <w:tcPr>
            <w:tcW w:w="1246" w:type="dxa"/>
            <w:vAlign w:val="center"/>
          </w:tcPr>
          <w:p>
            <w:pPr>
              <w:spacing w:line="360" w:lineRule="auto"/>
              <w:jc w:val="center"/>
              <w:rPr>
                <w:rFonts w:ascii="宋体" w:hAnsi="宋体" w:cs="宋体"/>
                <w:color w:val="auto"/>
                <w:sz w:val="21"/>
                <w:szCs w:val="21"/>
                <w:highlight w:val="none"/>
              </w:rPr>
            </w:pPr>
          </w:p>
        </w:tc>
        <w:tc>
          <w:tcPr>
            <w:tcW w:w="1686" w:type="dxa"/>
            <w:vAlign w:val="center"/>
          </w:tcPr>
          <w:p>
            <w:pPr>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vAlign w:val="center"/>
          </w:tcPr>
          <w:p>
            <w:pPr>
              <w:spacing w:line="360" w:lineRule="auto"/>
              <w:jc w:val="center"/>
              <w:rPr>
                <w:rFonts w:ascii="宋体" w:hAnsi="宋体" w:cs="宋体"/>
                <w:color w:val="auto"/>
                <w:sz w:val="21"/>
                <w:szCs w:val="21"/>
                <w:highlight w:val="none"/>
              </w:rPr>
            </w:pPr>
          </w:p>
        </w:tc>
        <w:tc>
          <w:tcPr>
            <w:tcW w:w="1037" w:type="dxa"/>
            <w:vAlign w:val="center"/>
          </w:tcPr>
          <w:p>
            <w:pPr>
              <w:spacing w:line="360" w:lineRule="auto"/>
              <w:jc w:val="center"/>
              <w:rPr>
                <w:rFonts w:ascii="宋体" w:hAnsi="宋体" w:cs="宋体"/>
                <w:color w:val="auto"/>
                <w:sz w:val="21"/>
                <w:szCs w:val="21"/>
                <w:highlight w:val="none"/>
              </w:rPr>
            </w:pPr>
          </w:p>
        </w:tc>
        <w:tc>
          <w:tcPr>
            <w:tcW w:w="826" w:type="dxa"/>
            <w:vAlign w:val="center"/>
          </w:tcPr>
          <w:p>
            <w:pPr>
              <w:spacing w:line="360" w:lineRule="auto"/>
              <w:jc w:val="center"/>
              <w:rPr>
                <w:rFonts w:ascii="宋体" w:hAnsi="宋体" w:cs="宋体"/>
                <w:color w:val="auto"/>
                <w:sz w:val="21"/>
                <w:szCs w:val="21"/>
                <w:highlight w:val="none"/>
              </w:rPr>
            </w:pPr>
          </w:p>
        </w:tc>
        <w:tc>
          <w:tcPr>
            <w:tcW w:w="825" w:type="dxa"/>
            <w:vAlign w:val="center"/>
          </w:tcPr>
          <w:p>
            <w:pPr>
              <w:spacing w:line="360" w:lineRule="auto"/>
              <w:jc w:val="center"/>
              <w:rPr>
                <w:rFonts w:ascii="宋体" w:hAnsi="宋体" w:cs="宋体"/>
                <w:color w:val="auto"/>
                <w:sz w:val="21"/>
                <w:szCs w:val="21"/>
                <w:highlight w:val="none"/>
              </w:rPr>
            </w:pPr>
          </w:p>
        </w:tc>
        <w:tc>
          <w:tcPr>
            <w:tcW w:w="825" w:type="dxa"/>
            <w:vAlign w:val="center"/>
          </w:tcPr>
          <w:p>
            <w:pPr>
              <w:spacing w:line="360" w:lineRule="auto"/>
              <w:jc w:val="center"/>
              <w:rPr>
                <w:rFonts w:ascii="宋体" w:hAnsi="宋体" w:cs="宋体"/>
                <w:color w:val="auto"/>
                <w:sz w:val="21"/>
                <w:szCs w:val="21"/>
                <w:highlight w:val="none"/>
              </w:rPr>
            </w:pPr>
          </w:p>
        </w:tc>
        <w:tc>
          <w:tcPr>
            <w:tcW w:w="1054" w:type="dxa"/>
            <w:vAlign w:val="center"/>
          </w:tcPr>
          <w:p>
            <w:pPr>
              <w:spacing w:line="360" w:lineRule="auto"/>
              <w:jc w:val="center"/>
              <w:rPr>
                <w:rFonts w:ascii="宋体" w:hAnsi="宋体" w:cs="宋体"/>
                <w:color w:val="auto"/>
                <w:sz w:val="21"/>
                <w:szCs w:val="21"/>
                <w:highlight w:val="none"/>
              </w:rPr>
            </w:pPr>
          </w:p>
        </w:tc>
        <w:tc>
          <w:tcPr>
            <w:tcW w:w="1221" w:type="dxa"/>
            <w:vAlign w:val="center"/>
          </w:tcPr>
          <w:p>
            <w:pPr>
              <w:spacing w:line="360" w:lineRule="auto"/>
              <w:jc w:val="center"/>
              <w:rPr>
                <w:rFonts w:ascii="宋体" w:hAnsi="宋体" w:cs="宋体"/>
                <w:color w:val="auto"/>
                <w:sz w:val="21"/>
                <w:szCs w:val="21"/>
                <w:highlight w:val="none"/>
              </w:rPr>
            </w:pPr>
          </w:p>
        </w:tc>
        <w:tc>
          <w:tcPr>
            <w:tcW w:w="1246" w:type="dxa"/>
            <w:vAlign w:val="center"/>
          </w:tcPr>
          <w:p>
            <w:pPr>
              <w:spacing w:line="360" w:lineRule="auto"/>
              <w:jc w:val="center"/>
              <w:rPr>
                <w:rFonts w:ascii="宋体" w:hAnsi="宋体" w:cs="宋体"/>
                <w:color w:val="auto"/>
                <w:sz w:val="21"/>
                <w:szCs w:val="21"/>
                <w:highlight w:val="none"/>
              </w:rPr>
            </w:pPr>
          </w:p>
        </w:tc>
        <w:tc>
          <w:tcPr>
            <w:tcW w:w="1686" w:type="dxa"/>
            <w:vAlign w:val="center"/>
          </w:tcPr>
          <w:p>
            <w:pPr>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vAlign w:val="center"/>
          </w:tcPr>
          <w:p>
            <w:pPr>
              <w:spacing w:line="360" w:lineRule="auto"/>
              <w:jc w:val="center"/>
              <w:rPr>
                <w:rFonts w:ascii="宋体" w:hAnsi="宋体" w:cs="宋体"/>
                <w:color w:val="auto"/>
                <w:sz w:val="21"/>
                <w:szCs w:val="21"/>
                <w:highlight w:val="none"/>
              </w:rPr>
            </w:pPr>
          </w:p>
        </w:tc>
        <w:tc>
          <w:tcPr>
            <w:tcW w:w="1037" w:type="dxa"/>
            <w:vAlign w:val="center"/>
          </w:tcPr>
          <w:p>
            <w:pPr>
              <w:spacing w:line="360" w:lineRule="auto"/>
              <w:jc w:val="center"/>
              <w:rPr>
                <w:rFonts w:ascii="宋体" w:hAnsi="宋体" w:cs="宋体"/>
                <w:color w:val="auto"/>
                <w:sz w:val="21"/>
                <w:szCs w:val="21"/>
                <w:highlight w:val="none"/>
              </w:rPr>
            </w:pPr>
          </w:p>
        </w:tc>
        <w:tc>
          <w:tcPr>
            <w:tcW w:w="826" w:type="dxa"/>
            <w:vAlign w:val="center"/>
          </w:tcPr>
          <w:p>
            <w:pPr>
              <w:spacing w:line="360" w:lineRule="auto"/>
              <w:jc w:val="center"/>
              <w:rPr>
                <w:rFonts w:ascii="宋体" w:hAnsi="宋体" w:cs="宋体"/>
                <w:color w:val="auto"/>
                <w:sz w:val="21"/>
                <w:szCs w:val="21"/>
                <w:highlight w:val="none"/>
              </w:rPr>
            </w:pPr>
          </w:p>
        </w:tc>
        <w:tc>
          <w:tcPr>
            <w:tcW w:w="825" w:type="dxa"/>
            <w:vAlign w:val="center"/>
          </w:tcPr>
          <w:p>
            <w:pPr>
              <w:spacing w:line="360" w:lineRule="auto"/>
              <w:jc w:val="center"/>
              <w:rPr>
                <w:rFonts w:ascii="宋体" w:hAnsi="宋体" w:cs="宋体"/>
                <w:color w:val="auto"/>
                <w:sz w:val="21"/>
                <w:szCs w:val="21"/>
                <w:highlight w:val="none"/>
              </w:rPr>
            </w:pPr>
          </w:p>
        </w:tc>
        <w:tc>
          <w:tcPr>
            <w:tcW w:w="825" w:type="dxa"/>
            <w:vAlign w:val="center"/>
          </w:tcPr>
          <w:p>
            <w:pPr>
              <w:spacing w:line="360" w:lineRule="auto"/>
              <w:jc w:val="center"/>
              <w:rPr>
                <w:rFonts w:ascii="宋体" w:hAnsi="宋体" w:cs="宋体"/>
                <w:color w:val="auto"/>
                <w:sz w:val="21"/>
                <w:szCs w:val="21"/>
                <w:highlight w:val="none"/>
              </w:rPr>
            </w:pPr>
          </w:p>
        </w:tc>
        <w:tc>
          <w:tcPr>
            <w:tcW w:w="1054" w:type="dxa"/>
            <w:vAlign w:val="center"/>
          </w:tcPr>
          <w:p>
            <w:pPr>
              <w:spacing w:line="360" w:lineRule="auto"/>
              <w:jc w:val="center"/>
              <w:rPr>
                <w:rFonts w:ascii="宋体" w:hAnsi="宋体" w:cs="宋体"/>
                <w:color w:val="auto"/>
                <w:sz w:val="21"/>
                <w:szCs w:val="21"/>
                <w:highlight w:val="none"/>
              </w:rPr>
            </w:pPr>
          </w:p>
        </w:tc>
        <w:tc>
          <w:tcPr>
            <w:tcW w:w="1221" w:type="dxa"/>
            <w:vAlign w:val="center"/>
          </w:tcPr>
          <w:p>
            <w:pPr>
              <w:spacing w:line="360" w:lineRule="auto"/>
              <w:jc w:val="center"/>
              <w:rPr>
                <w:rFonts w:ascii="宋体" w:hAnsi="宋体" w:cs="宋体"/>
                <w:color w:val="auto"/>
                <w:sz w:val="21"/>
                <w:szCs w:val="21"/>
                <w:highlight w:val="none"/>
              </w:rPr>
            </w:pPr>
          </w:p>
        </w:tc>
        <w:tc>
          <w:tcPr>
            <w:tcW w:w="1246" w:type="dxa"/>
            <w:vAlign w:val="center"/>
          </w:tcPr>
          <w:p>
            <w:pPr>
              <w:spacing w:line="360" w:lineRule="auto"/>
              <w:jc w:val="center"/>
              <w:rPr>
                <w:rFonts w:ascii="宋体" w:hAnsi="宋体" w:cs="宋体"/>
                <w:color w:val="auto"/>
                <w:sz w:val="21"/>
                <w:szCs w:val="21"/>
                <w:highlight w:val="none"/>
              </w:rPr>
            </w:pPr>
          </w:p>
        </w:tc>
        <w:tc>
          <w:tcPr>
            <w:tcW w:w="1686" w:type="dxa"/>
            <w:vAlign w:val="center"/>
          </w:tcPr>
          <w:p>
            <w:pPr>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vAlign w:val="center"/>
          </w:tcPr>
          <w:p>
            <w:pPr>
              <w:spacing w:line="360" w:lineRule="auto"/>
              <w:jc w:val="center"/>
              <w:rPr>
                <w:rFonts w:ascii="宋体" w:hAnsi="宋体" w:cs="宋体"/>
                <w:color w:val="auto"/>
                <w:sz w:val="21"/>
                <w:szCs w:val="21"/>
                <w:highlight w:val="none"/>
              </w:rPr>
            </w:pPr>
          </w:p>
        </w:tc>
        <w:tc>
          <w:tcPr>
            <w:tcW w:w="1037" w:type="dxa"/>
            <w:vAlign w:val="center"/>
          </w:tcPr>
          <w:p>
            <w:pPr>
              <w:spacing w:line="360" w:lineRule="auto"/>
              <w:jc w:val="center"/>
              <w:rPr>
                <w:rFonts w:ascii="宋体" w:hAnsi="宋体" w:cs="宋体"/>
                <w:color w:val="auto"/>
                <w:sz w:val="21"/>
                <w:szCs w:val="21"/>
                <w:highlight w:val="none"/>
              </w:rPr>
            </w:pPr>
          </w:p>
        </w:tc>
        <w:tc>
          <w:tcPr>
            <w:tcW w:w="826" w:type="dxa"/>
            <w:vAlign w:val="center"/>
          </w:tcPr>
          <w:p>
            <w:pPr>
              <w:spacing w:line="360" w:lineRule="auto"/>
              <w:jc w:val="center"/>
              <w:rPr>
                <w:rFonts w:ascii="宋体" w:hAnsi="宋体" w:cs="宋体"/>
                <w:color w:val="auto"/>
                <w:sz w:val="21"/>
                <w:szCs w:val="21"/>
                <w:highlight w:val="none"/>
              </w:rPr>
            </w:pPr>
          </w:p>
        </w:tc>
        <w:tc>
          <w:tcPr>
            <w:tcW w:w="825" w:type="dxa"/>
            <w:vAlign w:val="center"/>
          </w:tcPr>
          <w:p>
            <w:pPr>
              <w:spacing w:line="360" w:lineRule="auto"/>
              <w:jc w:val="center"/>
              <w:rPr>
                <w:rFonts w:ascii="宋体" w:hAnsi="宋体" w:cs="宋体"/>
                <w:color w:val="auto"/>
                <w:sz w:val="21"/>
                <w:szCs w:val="21"/>
                <w:highlight w:val="none"/>
              </w:rPr>
            </w:pPr>
          </w:p>
        </w:tc>
        <w:tc>
          <w:tcPr>
            <w:tcW w:w="825" w:type="dxa"/>
            <w:vAlign w:val="center"/>
          </w:tcPr>
          <w:p>
            <w:pPr>
              <w:spacing w:line="360" w:lineRule="auto"/>
              <w:jc w:val="center"/>
              <w:rPr>
                <w:rFonts w:ascii="宋体" w:hAnsi="宋体" w:cs="宋体"/>
                <w:color w:val="auto"/>
                <w:sz w:val="21"/>
                <w:szCs w:val="21"/>
                <w:highlight w:val="none"/>
              </w:rPr>
            </w:pPr>
          </w:p>
        </w:tc>
        <w:tc>
          <w:tcPr>
            <w:tcW w:w="1054" w:type="dxa"/>
            <w:vAlign w:val="center"/>
          </w:tcPr>
          <w:p>
            <w:pPr>
              <w:spacing w:line="360" w:lineRule="auto"/>
              <w:jc w:val="center"/>
              <w:rPr>
                <w:rFonts w:ascii="宋体" w:hAnsi="宋体" w:cs="宋体"/>
                <w:color w:val="auto"/>
                <w:sz w:val="21"/>
                <w:szCs w:val="21"/>
                <w:highlight w:val="none"/>
              </w:rPr>
            </w:pPr>
          </w:p>
        </w:tc>
        <w:tc>
          <w:tcPr>
            <w:tcW w:w="1221" w:type="dxa"/>
            <w:vAlign w:val="center"/>
          </w:tcPr>
          <w:p>
            <w:pPr>
              <w:spacing w:line="360" w:lineRule="auto"/>
              <w:jc w:val="center"/>
              <w:rPr>
                <w:rFonts w:ascii="宋体" w:hAnsi="宋体" w:cs="宋体"/>
                <w:color w:val="auto"/>
                <w:sz w:val="21"/>
                <w:szCs w:val="21"/>
                <w:highlight w:val="none"/>
              </w:rPr>
            </w:pPr>
          </w:p>
        </w:tc>
        <w:tc>
          <w:tcPr>
            <w:tcW w:w="1246" w:type="dxa"/>
            <w:vAlign w:val="center"/>
          </w:tcPr>
          <w:p>
            <w:pPr>
              <w:spacing w:line="360" w:lineRule="auto"/>
              <w:jc w:val="center"/>
              <w:rPr>
                <w:rFonts w:ascii="宋体" w:hAnsi="宋体" w:cs="宋体"/>
                <w:color w:val="auto"/>
                <w:sz w:val="21"/>
                <w:szCs w:val="21"/>
                <w:highlight w:val="none"/>
              </w:rPr>
            </w:pPr>
          </w:p>
        </w:tc>
        <w:tc>
          <w:tcPr>
            <w:tcW w:w="1686" w:type="dxa"/>
            <w:vAlign w:val="center"/>
          </w:tcPr>
          <w:p>
            <w:pPr>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vAlign w:val="center"/>
          </w:tcPr>
          <w:p>
            <w:pPr>
              <w:spacing w:line="360" w:lineRule="auto"/>
              <w:jc w:val="center"/>
              <w:rPr>
                <w:rFonts w:ascii="宋体" w:hAnsi="宋体" w:cs="宋体"/>
                <w:color w:val="auto"/>
                <w:sz w:val="21"/>
                <w:szCs w:val="21"/>
                <w:highlight w:val="none"/>
              </w:rPr>
            </w:pPr>
          </w:p>
        </w:tc>
        <w:tc>
          <w:tcPr>
            <w:tcW w:w="1037" w:type="dxa"/>
            <w:vAlign w:val="center"/>
          </w:tcPr>
          <w:p>
            <w:pPr>
              <w:spacing w:line="360" w:lineRule="auto"/>
              <w:jc w:val="center"/>
              <w:rPr>
                <w:rFonts w:ascii="宋体" w:hAnsi="宋体" w:cs="宋体"/>
                <w:color w:val="auto"/>
                <w:sz w:val="21"/>
                <w:szCs w:val="21"/>
                <w:highlight w:val="none"/>
              </w:rPr>
            </w:pPr>
          </w:p>
        </w:tc>
        <w:tc>
          <w:tcPr>
            <w:tcW w:w="826" w:type="dxa"/>
            <w:vAlign w:val="center"/>
          </w:tcPr>
          <w:p>
            <w:pPr>
              <w:spacing w:line="360" w:lineRule="auto"/>
              <w:jc w:val="center"/>
              <w:rPr>
                <w:rFonts w:ascii="宋体" w:hAnsi="宋体" w:cs="宋体"/>
                <w:color w:val="auto"/>
                <w:sz w:val="21"/>
                <w:szCs w:val="21"/>
                <w:highlight w:val="none"/>
              </w:rPr>
            </w:pPr>
          </w:p>
        </w:tc>
        <w:tc>
          <w:tcPr>
            <w:tcW w:w="825" w:type="dxa"/>
            <w:vAlign w:val="center"/>
          </w:tcPr>
          <w:p>
            <w:pPr>
              <w:spacing w:line="360" w:lineRule="auto"/>
              <w:jc w:val="center"/>
              <w:rPr>
                <w:rFonts w:ascii="宋体" w:hAnsi="宋体" w:cs="宋体"/>
                <w:color w:val="auto"/>
                <w:sz w:val="21"/>
                <w:szCs w:val="21"/>
                <w:highlight w:val="none"/>
              </w:rPr>
            </w:pPr>
          </w:p>
        </w:tc>
        <w:tc>
          <w:tcPr>
            <w:tcW w:w="825" w:type="dxa"/>
            <w:vAlign w:val="center"/>
          </w:tcPr>
          <w:p>
            <w:pPr>
              <w:spacing w:line="360" w:lineRule="auto"/>
              <w:jc w:val="center"/>
              <w:rPr>
                <w:rFonts w:ascii="宋体" w:hAnsi="宋体" w:cs="宋体"/>
                <w:color w:val="auto"/>
                <w:sz w:val="21"/>
                <w:szCs w:val="21"/>
                <w:highlight w:val="none"/>
              </w:rPr>
            </w:pPr>
          </w:p>
        </w:tc>
        <w:tc>
          <w:tcPr>
            <w:tcW w:w="1054" w:type="dxa"/>
            <w:vAlign w:val="center"/>
          </w:tcPr>
          <w:p>
            <w:pPr>
              <w:spacing w:line="360" w:lineRule="auto"/>
              <w:jc w:val="center"/>
              <w:rPr>
                <w:rFonts w:ascii="宋体" w:hAnsi="宋体" w:cs="宋体"/>
                <w:color w:val="auto"/>
                <w:sz w:val="21"/>
                <w:szCs w:val="21"/>
                <w:highlight w:val="none"/>
              </w:rPr>
            </w:pPr>
          </w:p>
        </w:tc>
        <w:tc>
          <w:tcPr>
            <w:tcW w:w="1221" w:type="dxa"/>
            <w:vAlign w:val="center"/>
          </w:tcPr>
          <w:p>
            <w:pPr>
              <w:spacing w:line="360" w:lineRule="auto"/>
              <w:jc w:val="center"/>
              <w:rPr>
                <w:rFonts w:ascii="宋体" w:hAnsi="宋体" w:cs="宋体"/>
                <w:color w:val="auto"/>
                <w:sz w:val="21"/>
                <w:szCs w:val="21"/>
                <w:highlight w:val="none"/>
              </w:rPr>
            </w:pPr>
          </w:p>
        </w:tc>
        <w:tc>
          <w:tcPr>
            <w:tcW w:w="1246" w:type="dxa"/>
            <w:vAlign w:val="center"/>
          </w:tcPr>
          <w:p>
            <w:pPr>
              <w:spacing w:line="360" w:lineRule="auto"/>
              <w:jc w:val="center"/>
              <w:rPr>
                <w:rFonts w:ascii="宋体" w:hAnsi="宋体" w:cs="宋体"/>
                <w:color w:val="auto"/>
                <w:sz w:val="21"/>
                <w:szCs w:val="21"/>
                <w:highlight w:val="none"/>
              </w:rPr>
            </w:pPr>
          </w:p>
        </w:tc>
        <w:tc>
          <w:tcPr>
            <w:tcW w:w="1686" w:type="dxa"/>
            <w:vAlign w:val="center"/>
          </w:tcPr>
          <w:p>
            <w:pPr>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vAlign w:val="center"/>
          </w:tcPr>
          <w:p>
            <w:pPr>
              <w:spacing w:line="360" w:lineRule="auto"/>
              <w:jc w:val="center"/>
              <w:rPr>
                <w:rFonts w:ascii="宋体" w:hAnsi="宋体" w:cs="宋体"/>
                <w:color w:val="auto"/>
                <w:sz w:val="21"/>
                <w:szCs w:val="21"/>
                <w:highlight w:val="none"/>
              </w:rPr>
            </w:pPr>
          </w:p>
        </w:tc>
        <w:tc>
          <w:tcPr>
            <w:tcW w:w="1037" w:type="dxa"/>
            <w:vAlign w:val="center"/>
          </w:tcPr>
          <w:p>
            <w:pPr>
              <w:spacing w:line="360" w:lineRule="auto"/>
              <w:jc w:val="center"/>
              <w:rPr>
                <w:rFonts w:ascii="宋体" w:hAnsi="宋体" w:cs="宋体"/>
                <w:color w:val="auto"/>
                <w:sz w:val="21"/>
                <w:szCs w:val="21"/>
                <w:highlight w:val="none"/>
              </w:rPr>
            </w:pPr>
          </w:p>
        </w:tc>
        <w:tc>
          <w:tcPr>
            <w:tcW w:w="826" w:type="dxa"/>
            <w:vAlign w:val="center"/>
          </w:tcPr>
          <w:p>
            <w:pPr>
              <w:spacing w:line="360" w:lineRule="auto"/>
              <w:jc w:val="center"/>
              <w:rPr>
                <w:rFonts w:ascii="宋体" w:hAnsi="宋体" w:cs="宋体"/>
                <w:color w:val="auto"/>
                <w:sz w:val="21"/>
                <w:szCs w:val="21"/>
                <w:highlight w:val="none"/>
              </w:rPr>
            </w:pPr>
          </w:p>
        </w:tc>
        <w:tc>
          <w:tcPr>
            <w:tcW w:w="825" w:type="dxa"/>
            <w:vAlign w:val="center"/>
          </w:tcPr>
          <w:p>
            <w:pPr>
              <w:spacing w:line="360" w:lineRule="auto"/>
              <w:jc w:val="center"/>
              <w:rPr>
                <w:rFonts w:ascii="宋体" w:hAnsi="宋体" w:cs="宋体"/>
                <w:color w:val="auto"/>
                <w:sz w:val="21"/>
                <w:szCs w:val="21"/>
                <w:highlight w:val="none"/>
              </w:rPr>
            </w:pPr>
          </w:p>
        </w:tc>
        <w:tc>
          <w:tcPr>
            <w:tcW w:w="825" w:type="dxa"/>
            <w:vAlign w:val="center"/>
          </w:tcPr>
          <w:p>
            <w:pPr>
              <w:spacing w:line="360" w:lineRule="auto"/>
              <w:jc w:val="center"/>
              <w:rPr>
                <w:rFonts w:ascii="宋体" w:hAnsi="宋体" w:cs="宋体"/>
                <w:color w:val="auto"/>
                <w:sz w:val="21"/>
                <w:szCs w:val="21"/>
                <w:highlight w:val="none"/>
              </w:rPr>
            </w:pPr>
          </w:p>
        </w:tc>
        <w:tc>
          <w:tcPr>
            <w:tcW w:w="1054" w:type="dxa"/>
            <w:vAlign w:val="center"/>
          </w:tcPr>
          <w:p>
            <w:pPr>
              <w:spacing w:line="360" w:lineRule="auto"/>
              <w:jc w:val="center"/>
              <w:rPr>
                <w:rFonts w:ascii="宋体" w:hAnsi="宋体" w:cs="宋体"/>
                <w:color w:val="auto"/>
                <w:sz w:val="21"/>
                <w:szCs w:val="21"/>
                <w:highlight w:val="none"/>
              </w:rPr>
            </w:pPr>
          </w:p>
        </w:tc>
        <w:tc>
          <w:tcPr>
            <w:tcW w:w="1221" w:type="dxa"/>
            <w:vAlign w:val="center"/>
          </w:tcPr>
          <w:p>
            <w:pPr>
              <w:spacing w:line="360" w:lineRule="auto"/>
              <w:jc w:val="center"/>
              <w:rPr>
                <w:rFonts w:ascii="宋体" w:hAnsi="宋体" w:cs="宋体"/>
                <w:color w:val="auto"/>
                <w:sz w:val="21"/>
                <w:szCs w:val="21"/>
                <w:highlight w:val="none"/>
              </w:rPr>
            </w:pPr>
          </w:p>
        </w:tc>
        <w:tc>
          <w:tcPr>
            <w:tcW w:w="1246" w:type="dxa"/>
            <w:vAlign w:val="center"/>
          </w:tcPr>
          <w:p>
            <w:pPr>
              <w:spacing w:line="360" w:lineRule="auto"/>
              <w:jc w:val="center"/>
              <w:rPr>
                <w:rFonts w:ascii="宋体" w:hAnsi="宋体" w:cs="宋体"/>
                <w:color w:val="auto"/>
                <w:sz w:val="21"/>
                <w:szCs w:val="21"/>
                <w:highlight w:val="none"/>
              </w:rPr>
            </w:pPr>
          </w:p>
        </w:tc>
        <w:tc>
          <w:tcPr>
            <w:tcW w:w="1686" w:type="dxa"/>
            <w:vAlign w:val="center"/>
          </w:tcPr>
          <w:p>
            <w:pPr>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vAlign w:val="center"/>
          </w:tcPr>
          <w:p>
            <w:pPr>
              <w:spacing w:line="360" w:lineRule="auto"/>
              <w:jc w:val="center"/>
              <w:rPr>
                <w:rFonts w:ascii="宋体" w:hAnsi="宋体" w:cs="宋体"/>
                <w:color w:val="auto"/>
                <w:sz w:val="21"/>
                <w:szCs w:val="21"/>
                <w:highlight w:val="none"/>
              </w:rPr>
            </w:pPr>
          </w:p>
        </w:tc>
        <w:tc>
          <w:tcPr>
            <w:tcW w:w="1037" w:type="dxa"/>
            <w:vAlign w:val="center"/>
          </w:tcPr>
          <w:p>
            <w:pPr>
              <w:spacing w:line="360" w:lineRule="auto"/>
              <w:jc w:val="center"/>
              <w:rPr>
                <w:rFonts w:ascii="宋体" w:hAnsi="宋体" w:cs="宋体"/>
                <w:color w:val="auto"/>
                <w:sz w:val="21"/>
                <w:szCs w:val="21"/>
                <w:highlight w:val="none"/>
              </w:rPr>
            </w:pPr>
          </w:p>
        </w:tc>
        <w:tc>
          <w:tcPr>
            <w:tcW w:w="826" w:type="dxa"/>
            <w:vAlign w:val="center"/>
          </w:tcPr>
          <w:p>
            <w:pPr>
              <w:spacing w:line="360" w:lineRule="auto"/>
              <w:jc w:val="center"/>
              <w:rPr>
                <w:rFonts w:ascii="宋体" w:hAnsi="宋体" w:cs="宋体"/>
                <w:color w:val="auto"/>
                <w:sz w:val="21"/>
                <w:szCs w:val="21"/>
                <w:highlight w:val="none"/>
              </w:rPr>
            </w:pPr>
          </w:p>
        </w:tc>
        <w:tc>
          <w:tcPr>
            <w:tcW w:w="825" w:type="dxa"/>
            <w:vAlign w:val="center"/>
          </w:tcPr>
          <w:p>
            <w:pPr>
              <w:spacing w:line="360" w:lineRule="auto"/>
              <w:jc w:val="center"/>
              <w:rPr>
                <w:rFonts w:ascii="宋体" w:hAnsi="宋体" w:cs="宋体"/>
                <w:color w:val="auto"/>
                <w:sz w:val="21"/>
                <w:szCs w:val="21"/>
                <w:highlight w:val="none"/>
              </w:rPr>
            </w:pPr>
          </w:p>
        </w:tc>
        <w:tc>
          <w:tcPr>
            <w:tcW w:w="825" w:type="dxa"/>
            <w:vAlign w:val="center"/>
          </w:tcPr>
          <w:p>
            <w:pPr>
              <w:spacing w:line="360" w:lineRule="auto"/>
              <w:jc w:val="center"/>
              <w:rPr>
                <w:rFonts w:ascii="宋体" w:hAnsi="宋体" w:cs="宋体"/>
                <w:color w:val="auto"/>
                <w:sz w:val="21"/>
                <w:szCs w:val="21"/>
                <w:highlight w:val="none"/>
              </w:rPr>
            </w:pPr>
          </w:p>
        </w:tc>
        <w:tc>
          <w:tcPr>
            <w:tcW w:w="1054" w:type="dxa"/>
            <w:vAlign w:val="center"/>
          </w:tcPr>
          <w:p>
            <w:pPr>
              <w:spacing w:line="360" w:lineRule="auto"/>
              <w:jc w:val="center"/>
              <w:rPr>
                <w:rFonts w:ascii="宋体" w:hAnsi="宋体" w:cs="宋体"/>
                <w:color w:val="auto"/>
                <w:sz w:val="21"/>
                <w:szCs w:val="21"/>
                <w:highlight w:val="none"/>
              </w:rPr>
            </w:pPr>
          </w:p>
        </w:tc>
        <w:tc>
          <w:tcPr>
            <w:tcW w:w="1221" w:type="dxa"/>
            <w:vAlign w:val="center"/>
          </w:tcPr>
          <w:p>
            <w:pPr>
              <w:spacing w:line="360" w:lineRule="auto"/>
              <w:jc w:val="center"/>
              <w:rPr>
                <w:rFonts w:ascii="宋体" w:hAnsi="宋体" w:cs="宋体"/>
                <w:color w:val="auto"/>
                <w:sz w:val="21"/>
                <w:szCs w:val="21"/>
                <w:highlight w:val="none"/>
              </w:rPr>
            </w:pPr>
          </w:p>
        </w:tc>
        <w:tc>
          <w:tcPr>
            <w:tcW w:w="1246" w:type="dxa"/>
            <w:vAlign w:val="center"/>
          </w:tcPr>
          <w:p>
            <w:pPr>
              <w:spacing w:line="360" w:lineRule="auto"/>
              <w:jc w:val="center"/>
              <w:rPr>
                <w:rFonts w:ascii="宋体" w:hAnsi="宋体" w:cs="宋体"/>
                <w:color w:val="auto"/>
                <w:sz w:val="21"/>
                <w:szCs w:val="21"/>
                <w:highlight w:val="none"/>
              </w:rPr>
            </w:pPr>
          </w:p>
        </w:tc>
        <w:tc>
          <w:tcPr>
            <w:tcW w:w="1686" w:type="dxa"/>
            <w:vAlign w:val="center"/>
          </w:tcPr>
          <w:p>
            <w:pPr>
              <w:spacing w:line="360" w:lineRule="auto"/>
              <w:jc w:val="center"/>
              <w:rPr>
                <w:rFonts w:ascii="宋体" w:hAnsi="宋体" w:cs="宋体"/>
                <w:color w:val="auto"/>
                <w:sz w:val="21"/>
                <w:szCs w:val="21"/>
                <w:highlight w:val="none"/>
              </w:rPr>
            </w:pPr>
          </w:p>
        </w:tc>
      </w:tr>
    </w:tbl>
    <w:p>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备注：</w:t>
      </w:r>
      <w:r>
        <w:rPr>
          <w:rFonts w:hint="eastAsia" w:ascii="宋体" w:hAnsi="宋体" w:cs="宋体"/>
          <w:color w:val="auto"/>
          <w:sz w:val="21"/>
          <w:szCs w:val="21"/>
          <w:highlight w:val="none"/>
        </w:rPr>
        <w:t>提交相应资料</w:t>
      </w:r>
      <w:r>
        <w:rPr>
          <w:rFonts w:hint="eastAsia" w:ascii="宋体" w:hAnsi="宋体" w:cs="宋体"/>
          <w:bCs/>
          <w:color w:val="auto"/>
          <w:sz w:val="21"/>
          <w:szCs w:val="21"/>
          <w:highlight w:val="none"/>
        </w:rPr>
        <w:t>。（如有）</w:t>
      </w:r>
    </w:p>
    <w:p>
      <w:pPr>
        <w:spacing w:line="360" w:lineRule="auto"/>
        <w:ind w:firstLine="436" w:firstLineChars="200"/>
        <w:rPr>
          <w:rFonts w:ascii="宋体" w:hAnsi="宋体" w:cs="宋体"/>
          <w:color w:val="auto"/>
          <w:spacing w:val="4"/>
          <w:sz w:val="21"/>
          <w:szCs w:val="21"/>
          <w:highlight w:val="none"/>
        </w:rPr>
      </w:pPr>
    </w:p>
    <w:p>
      <w:pPr>
        <w:spacing w:line="360" w:lineRule="auto"/>
        <w:ind w:firstLine="436" w:firstLineChars="200"/>
        <w:rPr>
          <w:rFonts w:ascii="宋体" w:hAnsi="宋体" w:cs="宋体"/>
          <w:color w:val="auto"/>
          <w:spacing w:val="4"/>
          <w:sz w:val="21"/>
          <w:szCs w:val="21"/>
          <w:highlight w:val="none"/>
        </w:rPr>
      </w:pP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投标人名称（单位盖公章）： </w:t>
      </w: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法定代表人或投标人授权代表（签名或盖私章）：</w:t>
      </w:r>
      <w:r>
        <w:rPr>
          <w:rFonts w:hint="eastAsia" w:ascii="宋体" w:hAnsi="宋体" w:cs="宋体"/>
          <w:color w:val="auto"/>
          <w:sz w:val="21"/>
          <w:szCs w:val="21"/>
          <w:highlight w:val="none"/>
        </w:rPr>
        <w:tab/>
      </w: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bCs/>
          <w:color w:val="auto"/>
          <w:sz w:val="21"/>
          <w:szCs w:val="21"/>
          <w:highlight w:val="none"/>
        </w:rPr>
        <w:t>日期：</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pStyle w:val="2"/>
        <w:adjustRightInd w:val="0"/>
        <w:snapToGrid w:val="0"/>
        <w:spacing w:before="156" w:beforeLines="50" w:after="156" w:afterLines="50" w:line="360" w:lineRule="auto"/>
        <w:jc w:val="center"/>
        <w:rPr>
          <w:rFonts w:ascii="宋体" w:hAnsi="宋体" w:eastAsia="宋体" w:cs="宋体"/>
          <w:b w:val="0"/>
          <w:color w:val="auto"/>
          <w:highlight w:val="none"/>
        </w:rPr>
      </w:pPr>
      <w:r>
        <w:rPr>
          <w:rFonts w:hint="eastAsia" w:ascii="宋体" w:hAnsi="宋体" w:eastAsia="宋体" w:cs="宋体"/>
          <w:b w:val="0"/>
          <w:color w:val="auto"/>
          <w:highlight w:val="none"/>
        </w:rPr>
        <w:t>（十一）招标代理服务费承诺书</w:t>
      </w:r>
    </w:p>
    <w:p>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方禾（广东）项目管理有限公司：</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本公司</w:t>
      </w:r>
      <w:r>
        <w:rPr>
          <w:rFonts w:hint="eastAsia" w:ascii="宋体" w:hAnsi="宋体" w:cs="宋体"/>
          <w:color w:val="auto"/>
          <w:sz w:val="21"/>
          <w:szCs w:val="21"/>
          <w:highlight w:val="none"/>
          <w:u w:val="single"/>
        </w:rPr>
        <w:t xml:space="preserve">       (投标人名称)      </w:t>
      </w:r>
      <w:r>
        <w:rPr>
          <w:rFonts w:hint="eastAsia" w:ascii="宋体" w:hAnsi="宋体" w:cs="宋体"/>
          <w:color w:val="auto"/>
          <w:sz w:val="21"/>
          <w:szCs w:val="21"/>
          <w:highlight w:val="none"/>
        </w:rPr>
        <w:t>在参加中山市火炬科学技术学校小卖部承包经营项目(项目编号：FH2022CG0113)的招标中成为中标人，我公司保证按照招标文件的规定缴纳“招标代理服务费”后。如采用电汇或银行转账，我公司将同时递交招标代理服务费缴费凭证复印件。</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如我公司违反上款承诺,愿承担由此引起的一切法律责任。</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特此承诺!</w:t>
      </w:r>
      <w:r>
        <w:rPr>
          <w:rFonts w:hint="eastAsia" w:ascii="宋体" w:hAnsi="宋体" w:cs="宋体"/>
          <w:color w:val="auto"/>
          <w:sz w:val="21"/>
          <w:szCs w:val="21"/>
          <w:highlight w:val="none"/>
        </w:rPr>
        <w:tab/>
      </w:r>
    </w:p>
    <w:p>
      <w:pPr>
        <w:spacing w:line="360" w:lineRule="auto"/>
        <w:ind w:firstLine="840" w:firstLineChars="400"/>
        <w:rPr>
          <w:rFonts w:ascii="宋体" w:hAnsi="宋体" w:cs="宋体"/>
          <w:color w:val="auto"/>
          <w:sz w:val="21"/>
          <w:szCs w:val="21"/>
          <w:highlight w:val="none"/>
        </w:rPr>
      </w:pP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投标人名称（单位盖公章）： </w:t>
      </w: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法定代表人或投标人授权代表（签名或盖私章）：</w:t>
      </w:r>
      <w:r>
        <w:rPr>
          <w:rFonts w:hint="eastAsia" w:ascii="宋体" w:hAnsi="宋体" w:cs="宋体"/>
          <w:color w:val="auto"/>
          <w:sz w:val="21"/>
          <w:szCs w:val="21"/>
          <w:highlight w:val="none"/>
        </w:rPr>
        <w:tab/>
      </w: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日期：</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pStyle w:val="2"/>
        <w:adjustRightInd w:val="0"/>
        <w:snapToGrid w:val="0"/>
        <w:spacing w:before="156" w:beforeLines="50" w:after="156" w:afterLines="50" w:line="360" w:lineRule="auto"/>
        <w:jc w:val="center"/>
        <w:rPr>
          <w:rFonts w:ascii="宋体" w:hAnsi="宋体" w:eastAsia="宋体" w:cs="宋体"/>
          <w:b w:val="0"/>
          <w:color w:val="auto"/>
          <w:highlight w:val="none"/>
        </w:rPr>
      </w:pPr>
      <w:r>
        <w:rPr>
          <w:rFonts w:hint="eastAsia" w:ascii="宋体" w:hAnsi="宋体" w:eastAsia="宋体" w:cs="宋体"/>
          <w:b w:val="0"/>
          <w:color w:val="auto"/>
          <w:highlight w:val="none"/>
        </w:rPr>
        <w:t>（十二）服务方案</w:t>
      </w:r>
    </w:p>
    <w:p>
      <w:pPr>
        <w:spacing w:line="360" w:lineRule="auto"/>
        <w:ind w:firstLine="762" w:firstLineChars="363"/>
        <w:rPr>
          <w:rFonts w:ascii="宋体" w:hAnsi="宋体" w:cs="宋体"/>
          <w:b/>
          <w:color w:val="auto"/>
          <w:sz w:val="21"/>
          <w:szCs w:val="21"/>
          <w:highlight w:val="none"/>
        </w:rPr>
      </w:pPr>
      <w:r>
        <w:rPr>
          <w:rFonts w:hint="eastAsia" w:ascii="宋体" w:hAnsi="宋体" w:cs="宋体"/>
          <w:color w:val="auto"/>
          <w:sz w:val="21"/>
          <w:szCs w:val="21"/>
          <w:highlight w:val="none"/>
        </w:rPr>
        <w:t>投标人应当在充分分析和理解 “用户需求书”的基础上，根据</w:t>
      </w:r>
      <w:r>
        <w:rPr>
          <w:rFonts w:hint="eastAsia" w:ascii="宋体" w:hAnsi="宋体" w:cs="宋体"/>
          <w:b/>
          <w:color w:val="auto"/>
          <w:sz w:val="21"/>
          <w:szCs w:val="21"/>
          <w:highlight w:val="none"/>
          <w:u w:val="double"/>
        </w:rPr>
        <w:t>评分表的评审内容和对用户需求书的响应情况</w:t>
      </w:r>
      <w:r>
        <w:rPr>
          <w:rFonts w:hint="eastAsia" w:ascii="宋体" w:hAnsi="宋体" w:cs="宋体"/>
          <w:color w:val="auto"/>
          <w:sz w:val="21"/>
          <w:szCs w:val="21"/>
          <w:highlight w:val="none"/>
        </w:rPr>
        <w:t>提出自己认为最合理的服务方案（包括对招标人的项目需求提出有建设性的建议）。投标人应尽可能提供详细服务方案，以便评标委员会对服务方案有详细了解。如因提供内容不详导致服务方案被否决，责任由投标人自负。</w:t>
      </w: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p>
    <w:p>
      <w:pPr>
        <w:spacing w:line="360" w:lineRule="auto"/>
        <w:rPr>
          <w:rFonts w:ascii="宋体" w:hAnsi="宋体" w:cs="宋体"/>
          <w:bCs/>
          <w:color w:val="auto"/>
          <w:sz w:val="21"/>
          <w:szCs w:val="21"/>
          <w:highlight w:val="none"/>
        </w:rPr>
      </w:pP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投标人名称（单位盖公章）： </w:t>
      </w: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法定代表人或投标人授权代表（签名或盖私章）：</w:t>
      </w:r>
      <w:r>
        <w:rPr>
          <w:rFonts w:hint="eastAsia" w:ascii="宋体" w:hAnsi="宋体" w:cs="宋体"/>
          <w:color w:val="auto"/>
          <w:sz w:val="21"/>
          <w:szCs w:val="21"/>
          <w:highlight w:val="none"/>
        </w:rPr>
        <w:tab/>
      </w:r>
    </w:p>
    <w:p>
      <w:pPr>
        <w:spacing w:line="360" w:lineRule="auto"/>
        <w:ind w:left="118" w:leftChars="59" w:firstLine="4393" w:firstLineChars="2092"/>
        <w:rPr>
          <w:rFonts w:ascii="宋体" w:hAnsi="宋体" w:cs="宋体"/>
          <w:color w:val="auto"/>
          <w:sz w:val="21"/>
          <w:szCs w:val="21"/>
          <w:highlight w:val="none"/>
        </w:rPr>
      </w:pPr>
      <w:r>
        <w:rPr>
          <w:rFonts w:hint="eastAsia" w:ascii="宋体" w:hAnsi="宋体" w:cs="宋体"/>
          <w:color w:val="auto"/>
          <w:sz w:val="21"/>
          <w:szCs w:val="21"/>
          <w:highlight w:val="none"/>
        </w:rPr>
        <w:t>日期：</w:t>
      </w:r>
    </w:p>
    <w:p>
      <w:pPr>
        <w:tabs>
          <w:tab w:val="left" w:pos="360"/>
        </w:tabs>
        <w:autoSpaceDE/>
        <w:autoSpaceDN/>
        <w:adjustRightInd/>
        <w:snapToGrid w:val="0"/>
        <w:spacing w:line="360" w:lineRule="auto"/>
        <w:jc w:val="both"/>
        <w:rPr>
          <w:rFonts w:ascii="宋体" w:hAnsi="宋体" w:cs="宋体"/>
          <w:color w:val="auto"/>
          <w:spacing w:val="4"/>
          <w:sz w:val="21"/>
          <w:szCs w:val="21"/>
          <w:highlight w:val="none"/>
          <w:u w:val="single"/>
        </w:rPr>
      </w:pPr>
    </w:p>
    <w:p>
      <w:pPr>
        <w:tabs>
          <w:tab w:val="left" w:pos="360"/>
        </w:tabs>
        <w:autoSpaceDE/>
        <w:autoSpaceDN/>
        <w:adjustRightInd/>
        <w:snapToGrid w:val="0"/>
        <w:spacing w:line="360" w:lineRule="auto"/>
        <w:jc w:val="both"/>
        <w:rPr>
          <w:rFonts w:ascii="宋体" w:hAnsi="宋体" w:cs="宋体"/>
          <w:color w:val="auto"/>
          <w:spacing w:val="4"/>
          <w:sz w:val="21"/>
          <w:szCs w:val="21"/>
          <w:highlight w:val="none"/>
          <w:u w:val="single"/>
        </w:rPr>
      </w:pPr>
    </w:p>
    <w:p>
      <w:pPr>
        <w:tabs>
          <w:tab w:val="left" w:pos="360"/>
        </w:tabs>
        <w:autoSpaceDE/>
        <w:autoSpaceDN/>
        <w:adjustRightInd/>
        <w:snapToGrid w:val="0"/>
        <w:spacing w:line="360" w:lineRule="auto"/>
        <w:jc w:val="both"/>
        <w:rPr>
          <w:rFonts w:ascii="宋体" w:hAnsi="宋体" w:cs="宋体"/>
          <w:color w:val="auto"/>
          <w:spacing w:val="4"/>
          <w:sz w:val="21"/>
          <w:szCs w:val="21"/>
          <w:highlight w:val="none"/>
          <w:u w:val="single"/>
        </w:rPr>
      </w:pPr>
    </w:p>
    <w:p>
      <w:pPr>
        <w:tabs>
          <w:tab w:val="left" w:pos="360"/>
        </w:tabs>
        <w:autoSpaceDE/>
        <w:autoSpaceDN/>
        <w:adjustRightInd/>
        <w:snapToGrid w:val="0"/>
        <w:spacing w:line="360" w:lineRule="auto"/>
        <w:jc w:val="both"/>
        <w:rPr>
          <w:rFonts w:ascii="宋体" w:hAnsi="宋体" w:cs="宋体"/>
          <w:color w:val="auto"/>
          <w:spacing w:val="4"/>
          <w:sz w:val="21"/>
          <w:szCs w:val="21"/>
          <w:highlight w:val="none"/>
          <w:u w:val="single"/>
        </w:rPr>
      </w:pPr>
    </w:p>
    <w:p>
      <w:pPr>
        <w:tabs>
          <w:tab w:val="left" w:pos="360"/>
        </w:tabs>
        <w:autoSpaceDE/>
        <w:autoSpaceDN/>
        <w:adjustRightInd/>
        <w:snapToGrid w:val="0"/>
        <w:spacing w:line="360" w:lineRule="auto"/>
        <w:jc w:val="both"/>
        <w:rPr>
          <w:rFonts w:ascii="宋体" w:hAnsi="宋体" w:cs="宋体"/>
          <w:color w:val="auto"/>
          <w:spacing w:val="4"/>
          <w:sz w:val="21"/>
          <w:szCs w:val="21"/>
          <w:highlight w:val="none"/>
          <w:u w:val="single"/>
        </w:rPr>
      </w:pPr>
    </w:p>
    <w:p>
      <w:pPr>
        <w:tabs>
          <w:tab w:val="left" w:pos="360"/>
        </w:tabs>
        <w:autoSpaceDE/>
        <w:autoSpaceDN/>
        <w:adjustRightInd/>
        <w:snapToGrid w:val="0"/>
        <w:spacing w:line="360" w:lineRule="auto"/>
        <w:jc w:val="both"/>
        <w:rPr>
          <w:rFonts w:ascii="宋体" w:hAnsi="宋体" w:cs="宋体"/>
          <w:color w:val="auto"/>
          <w:spacing w:val="4"/>
          <w:sz w:val="21"/>
          <w:szCs w:val="21"/>
          <w:highlight w:val="none"/>
          <w:u w:val="single"/>
        </w:rPr>
      </w:pPr>
    </w:p>
    <w:p>
      <w:pPr>
        <w:tabs>
          <w:tab w:val="left" w:pos="360"/>
        </w:tabs>
        <w:autoSpaceDE/>
        <w:autoSpaceDN/>
        <w:adjustRightInd/>
        <w:snapToGrid w:val="0"/>
        <w:spacing w:line="360" w:lineRule="auto"/>
        <w:jc w:val="both"/>
        <w:rPr>
          <w:rFonts w:ascii="宋体" w:hAnsi="宋体" w:cs="宋体"/>
          <w:color w:val="auto"/>
          <w:spacing w:val="4"/>
          <w:sz w:val="21"/>
          <w:szCs w:val="21"/>
          <w:highlight w:val="none"/>
          <w:u w:val="single"/>
        </w:rPr>
      </w:pPr>
    </w:p>
    <w:p>
      <w:pPr>
        <w:tabs>
          <w:tab w:val="left" w:pos="360"/>
        </w:tabs>
        <w:autoSpaceDE/>
        <w:autoSpaceDN/>
        <w:adjustRightInd/>
        <w:snapToGrid w:val="0"/>
        <w:spacing w:line="360" w:lineRule="auto"/>
        <w:jc w:val="both"/>
        <w:rPr>
          <w:rFonts w:ascii="宋体" w:hAnsi="宋体" w:cs="宋体"/>
          <w:color w:val="auto"/>
          <w:spacing w:val="4"/>
          <w:sz w:val="21"/>
          <w:szCs w:val="21"/>
          <w:highlight w:val="none"/>
          <w:u w:val="single"/>
        </w:rPr>
      </w:pPr>
    </w:p>
    <w:p>
      <w:pPr>
        <w:tabs>
          <w:tab w:val="left" w:pos="360"/>
        </w:tabs>
        <w:autoSpaceDE/>
        <w:autoSpaceDN/>
        <w:adjustRightInd/>
        <w:snapToGrid w:val="0"/>
        <w:spacing w:line="360" w:lineRule="auto"/>
        <w:jc w:val="both"/>
        <w:rPr>
          <w:rFonts w:ascii="宋体" w:hAnsi="宋体" w:cs="宋体"/>
          <w:color w:val="auto"/>
          <w:spacing w:val="4"/>
          <w:sz w:val="21"/>
          <w:szCs w:val="21"/>
          <w:highlight w:val="none"/>
          <w:u w:val="single"/>
        </w:rPr>
      </w:pPr>
    </w:p>
    <w:p>
      <w:pPr>
        <w:tabs>
          <w:tab w:val="left" w:pos="360"/>
        </w:tabs>
        <w:autoSpaceDE/>
        <w:autoSpaceDN/>
        <w:adjustRightInd/>
        <w:snapToGrid w:val="0"/>
        <w:spacing w:line="360" w:lineRule="auto"/>
        <w:jc w:val="both"/>
        <w:rPr>
          <w:rFonts w:ascii="宋体" w:hAnsi="宋体" w:cs="宋体"/>
          <w:color w:val="auto"/>
          <w:spacing w:val="4"/>
          <w:sz w:val="21"/>
          <w:szCs w:val="21"/>
          <w:highlight w:val="none"/>
          <w:u w:val="single"/>
        </w:rPr>
      </w:pPr>
    </w:p>
    <w:p>
      <w:pPr>
        <w:tabs>
          <w:tab w:val="left" w:pos="360"/>
        </w:tabs>
        <w:autoSpaceDE/>
        <w:autoSpaceDN/>
        <w:adjustRightInd/>
        <w:snapToGrid w:val="0"/>
        <w:spacing w:line="360" w:lineRule="auto"/>
        <w:jc w:val="both"/>
        <w:rPr>
          <w:rFonts w:ascii="宋体" w:hAnsi="宋体" w:cs="宋体"/>
          <w:color w:val="auto"/>
          <w:spacing w:val="4"/>
          <w:sz w:val="21"/>
          <w:szCs w:val="21"/>
          <w:highlight w:val="none"/>
          <w:u w:val="single"/>
        </w:rPr>
      </w:pPr>
    </w:p>
    <w:sectPr>
      <w:pgSz w:w="11906" w:h="16838"/>
      <w:pgMar w:top="1134" w:right="1134" w:bottom="1134" w:left="1134" w:header="142" w:footer="726"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4628222"/>
    </w:sdtPr>
    <w:sdtContent>
      <w:p>
        <w:pPr>
          <w:pStyle w:val="11"/>
          <w:jc w:val="center"/>
        </w:pPr>
      </w:p>
      <w:p>
        <w:pPr>
          <w:pStyle w:val="11"/>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p>
    <w:pPr>
      <w:pStyle w:val="1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746"/>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w:t>
                    </w:r>
                    <w:r>
                      <w:fldChar w:fldCharType="end"/>
                    </w:r>
                  </w:p>
                </w:txbxContent>
              </v:textbox>
            </v:shape>
          </w:pict>
        </mc:Fallback>
      </mc:AlternateContent>
    </w:r>
  </w:p>
  <w:p>
    <w:pPr>
      <w:pStyle w:val="11"/>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746"/>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left"/>
    </w:pPr>
    <w:r>
      <w:rPr>
        <w:rFonts w:hint="eastAsia"/>
      </w:rPr>
      <w:drawing>
        <wp:inline distT="0" distB="0" distL="114300" distR="114300">
          <wp:extent cx="400685" cy="400685"/>
          <wp:effectExtent l="0" t="0" r="0" b="1841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400685" cy="400685"/>
                  </a:xfrm>
                  <a:prstGeom prst="rect">
                    <a:avLst/>
                  </a:prstGeom>
                  <a:noFill/>
                  <a:ln>
                    <a:noFill/>
                  </a:ln>
                </pic:spPr>
              </pic:pic>
            </a:graphicData>
          </a:graphic>
        </wp:inline>
      </w:drawing>
    </w:r>
    <w:r>
      <w:rPr>
        <w:rFonts w:hint="eastAsia"/>
      </w:rPr>
      <w:t xml:space="preserve">                                                               招标文件（项目编号：FH2022CG0113）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tabs>
        <w:tab w:val="right" w:pos="0"/>
        <w:tab w:val="clear" w:pos="8306"/>
      </w:tabs>
      <w:jc w:val="left"/>
      <w:rPr>
        <w:rFonts w:ascii="仿宋" w:hAnsi="仿宋" w:eastAsia="仿宋" w:cs="仿宋"/>
        <w:sz w:val="21"/>
        <w:szCs w:val="21"/>
      </w:rPr>
    </w:pPr>
    <w:r>
      <w:rPr>
        <w:rFonts w:hint="eastAsia"/>
      </w:rPr>
      <w:drawing>
        <wp:inline distT="0" distB="0" distL="114300" distR="114300">
          <wp:extent cx="393065" cy="382270"/>
          <wp:effectExtent l="0" t="0" r="6985" b="0"/>
          <wp:docPr id="8"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图片1"/>
                  <pic:cNvPicPr>
                    <a:picLocks noChangeAspect="1"/>
                  </pic:cNvPicPr>
                </pic:nvPicPr>
                <pic:blipFill>
                  <a:blip r:embed="rId1"/>
                  <a:stretch>
                    <a:fillRect/>
                  </a:stretch>
                </pic:blipFill>
                <pic:spPr>
                  <a:xfrm>
                    <a:off x="0" y="0"/>
                    <a:ext cx="400685" cy="389855"/>
                  </a:xfrm>
                  <a:prstGeom prst="rect">
                    <a:avLst/>
                  </a:prstGeom>
                  <a:noFill/>
                  <a:ln>
                    <a:noFill/>
                  </a:ln>
                </pic:spPr>
              </pic:pic>
            </a:graphicData>
          </a:graphic>
        </wp:inline>
      </w:drawing>
    </w:r>
    <w:r>
      <w:rPr>
        <w:rFonts w:hint="eastAsia"/>
      </w:rPr>
      <w:t xml:space="preserve">                                                                   招标文件（项目编号：FH2022CG0113）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left"/>
    </w:pPr>
    <w:r>
      <w:rPr>
        <w:rFonts w:hint="eastAsia"/>
      </w:rPr>
      <w:drawing>
        <wp:inline distT="0" distB="0" distL="114300" distR="114300">
          <wp:extent cx="400685" cy="400685"/>
          <wp:effectExtent l="0" t="0" r="0" b="1841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
                  <a:stretch>
                    <a:fillRect/>
                  </a:stretch>
                </pic:blipFill>
                <pic:spPr>
                  <a:xfrm>
                    <a:off x="0" y="0"/>
                    <a:ext cx="400685" cy="400685"/>
                  </a:xfrm>
                  <a:prstGeom prst="rect">
                    <a:avLst/>
                  </a:prstGeom>
                  <a:noFill/>
                  <a:ln>
                    <a:noFill/>
                  </a:ln>
                </pic:spPr>
              </pic:pic>
            </a:graphicData>
          </a:graphic>
        </wp:inline>
      </w:drawing>
    </w:r>
    <w:r>
      <w:rPr>
        <w:rFonts w:hint="eastAsia"/>
      </w:rPr>
      <w:t xml:space="preserve">                                                                    招标文件（项目编号：FH2022CG0113）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left"/>
    </w:pPr>
    <w:r>
      <w:rPr>
        <w:rFonts w:hint="eastAsia"/>
      </w:rPr>
      <w:drawing>
        <wp:inline distT="0" distB="0" distL="114300" distR="114300">
          <wp:extent cx="400685" cy="400685"/>
          <wp:effectExtent l="0" t="0" r="0" b="1841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1"/>
                  <a:stretch>
                    <a:fillRect/>
                  </a:stretch>
                </pic:blipFill>
                <pic:spPr>
                  <a:xfrm>
                    <a:off x="0" y="0"/>
                    <a:ext cx="400685" cy="400685"/>
                  </a:xfrm>
                  <a:prstGeom prst="rect">
                    <a:avLst/>
                  </a:prstGeom>
                  <a:noFill/>
                  <a:ln>
                    <a:noFill/>
                  </a:ln>
                </pic:spPr>
              </pic:pic>
            </a:graphicData>
          </a:graphic>
        </wp:inline>
      </w:drawing>
    </w:r>
    <w:r>
      <w:rPr>
        <w:rFonts w:hint="eastAsia"/>
      </w:rPr>
      <w:t xml:space="preserve">                                                                    招标文件（项目编号：FH2022CG0113）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9475A"/>
    <w:multiLevelType w:val="singleLevel"/>
    <w:tmpl w:val="8289475A"/>
    <w:lvl w:ilvl="0" w:tentative="0">
      <w:start w:val="1"/>
      <w:numFmt w:val="chineseCounting"/>
      <w:suff w:val="nothing"/>
      <w:lvlText w:val="%1、"/>
      <w:lvlJc w:val="left"/>
      <w:pPr>
        <w:ind w:left="0" w:firstLine="420"/>
      </w:pPr>
      <w:rPr>
        <w:rFonts w:hint="eastAsia"/>
      </w:rPr>
    </w:lvl>
  </w:abstractNum>
  <w:abstractNum w:abstractNumId="1">
    <w:nsid w:val="83E0A014"/>
    <w:multiLevelType w:val="singleLevel"/>
    <w:tmpl w:val="83E0A014"/>
    <w:lvl w:ilvl="0" w:tentative="0">
      <w:start w:val="1"/>
      <w:numFmt w:val="decimal"/>
      <w:lvlText w:val="(%1)"/>
      <w:lvlJc w:val="left"/>
      <w:pPr>
        <w:ind w:left="425" w:hanging="425"/>
      </w:pPr>
      <w:rPr>
        <w:rFonts w:hint="default"/>
      </w:rPr>
    </w:lvl>
  </w:abstractNum>
  <w:abstractNum w:abstractNumId="2">
    <w:nsid w:val="8ACAB25E"/>
    <w:multiLevelType w:val="singleLevel"/>
    <w:tmpl w:val="8ACAB25E"/>
    <w:lvl w:ilvl="0" w:tentative="0">
      <w:start w:val="1"/>
      <w:numFmt w:val="decimal"/>
      <w:lvlText w:val="%1."/>
      <w:lvlJc w:val="left"/>
      <w:pPr>
        <w:ind w:left="425" w:hanging="425"/>
      </w:pPr>
      <w:rPr>
        <w:rFonts w:hint="default"/>
      </w:rPr>
    </w:lvl>
  </w:abstractNum>
  <w:abstractNum w:abstractNumId="3">
    <w:nsid w:val="9068E808"/>
    <w:multiLevelType w:val="singleLevel"/>
    <w:tmpl w:val="9068E808"/>
    <w:lvl w:ilvl="0" w:tentative="0">
      <w:start w:val="1"/>
      <w:numFmt w:val="decimal"/>
      <w:lvlText w:val="%1."/>
      <w:lvlJc w:val="left"/>
      <w:pPr>
        <w:ind w:left="425" w:hanging="425"/>
      </w:pPr>
      <w:rPr>
        <w:rFonts w:hint="default"/>
      </w:rPr>
    </w:lvl>
  </w:abstractNum>
  <w:abstractNum w:abstractNumId="4">
    <w:nsid w:val="9A1659ED"/>
    <w:multiLevelType w:val="singleLevel"/>
    <w:tmpl w:val="9A1659ED"/>
    <w:lvl w:ilvl="0" w:tentative="0">
      <w:start w:val="1"/>
      <w:numFmt w:val="decimal"/>
      <w:lvlText w:val="%1."/>
      <w:lvlJc w:val="left"/>
      <w:pPr>
        <w:ind w:left="425" w:hanging="425"/>
      </w:pPr>
      <w:rPr>
        <w:rFonts w:hint="default"/>
      </w:rPr>
    </w:lvl>
  </w:abstractNum>
  <w:abstractNum w:abstractNumId="5">
    <w:nsid w:val="A5C2C72C"/>
    <w:multiLevelType w:val="multilevel"/>
    <w:tmpl w:val="A5C2C72C"/>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chineseCountingThousand"/>
      <w:lvlText w:val="%6、"/>
      <w:lvlJc w:val="left"/>
      <w:pPr>
        <w:tabs>
          <w:tab w:val="left" w:pos="2520"/>
        </w:tabs>
        <w:ind w:left="2520" w:hanging="420"/>
      </w:pPr>
    </w:lvl>
    <w:lvl w:ilvl="6" w:tentative="0">
      <w:start w:val="1"/>
      <w:numFmt w:val="decimal"/>
      <w:lvlText w:val="%7．"/>
      <w:lvlJc w:val="left"/>
      <w:pPr>
        <w:tabs>
          <w:tab w:val="left" w:pos="3240"/>
        </w:tabs>
        <w:ind w:left="3240" w:hanging="720"/>
      </w:pPr>
      <w:rPr>
        <w:rFonts w:ascii="宋体" w:hAnsi="宋体"/>
        <w:sz w:val="21"/>
      </w:rPr>
    </w:lvl>
    <w:lvl w:ilvl="7" w:tentative="0">
      <w:start w:val="1"/>
      <w:numFmt w:val="decimal"/>
      <w:lvlText w:val="%8)"/>
      <w:lvlJc w:val="left"/>
      <w:pPr>
        <w:tabs>
          <w:tab w:val="left" w:pos="3360"/>
        </w:tabs>
        <w:ind w:left="3360" w:hanging="420"/>
      </w:pPr>
    </w:lvl>
    <w:lvl w:ilvl="8" w:tentative="0">
      <w:start w:val="1"/>
      <w:numFmt w:val="decimal"/>
      <w:lvlText w:val="%9."/>
      <w:lvlJc w:val="left"/>
      <w:pPr>
        <w:tabs>
          <w:tab w:val="left" w:pos="6480"/>
        </w:tabs>
        <w:ind w:left="6480" w:hanging="360"/>
      </w:pPr>
    </w:lvl>
  </w:abstractNum>
  <w:abstractNum w:abstractNumId="6">
    <w:nsid w:val="A863A663"/>
    <w:multiLevelType w:val="singleLevel"/>
    <w:tmpl w:val="A863A663"/>
    <w:lvl w:ilvl="0" w:tentative="0">
      <w:start w:val="5"/>
      <w:numFmt w:val="chineseCounting"/>
      <w:suff w:val="space"/>
      <w:lvlText w:val="第%1章"/>
      <w:lvlJc w:val="left"/>
      <w:rPr>
        <w:rFonts w:hint="eastAsia"/>
      </w:rPr>
    </w:lvl>
  </w:abstractNum>
  <w:abstractNum w:abstractNumId="7">
    <w:nsid w:val="AE397844"/>
    <w:multiLevelType w:val="multilevel"/>
    <w:tmpl w:val="AE39784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chineseCountingThousand"/>
      <w:lvlText w:val="%6、"/>
      <w:lvlJc w:val="left"/>
      <w:pPr>
        <w:tabs>
          <w:tab w:val="left" w:pos="2520"/>
        </w:tabs>
        <w:ind w:left="2520" w:hanging="420"/>
      </w:pPr>
      <w:rPr>
        <w:rFonts w:hint="eastAsia"/>
      </w:rPr>
    </w:lvl>
    <w:lvl w:ilvl="6" w:tentative="0">
      <w:start w:val="1"/>
      <w:numFmt w:val="decimal"/>
      <w:lvlText w:val="%7．"/>
      <w:lvlJc w:val="left"/>
      <w:pPr>
        <w:tabs>
          <w:tab w:val="left" w:pos="3240"/>
        </w:tabs>
        <w:ind w:left="3240" w:hanging="720"/>
      </w:pPr>
      <w:rPr>
        <w:rFonts w:hint="eastAsia" w:ascii="宋体" w:hAnsi="宋体"/>
        <w:sz w:val="21"/>
      </w:rPr>
    </w:lvl>
    <w:lvl w:ilvl="7" w:tentative="0">
      <w:start w:val="1"/>
      <w:numFmt w:val="decimal"/>
      <w:lvlText w:val="%8)"/>
      <w:lvlJc w:val="left"/>
      <w:pPr>
        <w:tabs>
          <w:tab w:val="left" w:pos="3360"/>
        </w:tabs>
        <w:ind w:left="3360" w:hanging="42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8">
    <w:nsid w:val="CD85D2BE"/>
    <w:multiLevelType w:val="singleLevel"/>
    <w:tmpl w:val="CD85D2BE"/>
    <w:lvl w:ilvl="0" w:tentative="0">
      <w:start w:val="1"/>
      <w:numFmt w:val="decimal"/>
      <w:lvlText w:val="%1)"/>
      <w:lvlJc w:val="left"/>
      <w:pPr>
        <w:ind w:left="425" w:hanging="425"/>
      </w:pPr>
      <w:rPr>
        <w:rFonts w:hint="default"/>
      </w:rPr>
    </w:lvl>
  </w:abstractNum>
  <w:abstractNum w:abstractNumId="9">
    <w:nsid w:val="EED7639A"/>
    <w:multiLevelType w:val="singleLevel"/>
    <w:tmpl w:val="EED7639A"/>
    <w:lvl w:ilvl="0" w:tentative="0">
      <w:start w:val="1"/>
      <w:numFmt w:val="chineseCounting"/>
      <w:suff w:val="nothing"/>
      <w:lvlText w:val="%1、"/>
      <w:lvlJc w:val="left"/>
      <w:pPr>
        <w:ind w:left="0" w:firstLine="420"/>
      </w:pPr>
      <w:rPr>
        <w:rFonts w:hint="eastAsia"/>
      </w:rPr>
    </w:lvl>
  </w:abstractNum>
  <w:abstractNum w:abstractNumId="10">
    <w:nsid w:val="F328A9EC"/>
    <w:multiLevelType w:val="singleLevel"/>
    <w:tmpl w:val="F328A9EC"/>
    <w:lvl w:ilvl="0" w:tentative="0">
      <w:start w:val="1"/>
      <w:numFmt w:val="chineseCounting"/>
      <w:suff w:val="nothing"/>
      <w:lvlText w:val="%1、"/>
      <w:lvlJc w:val="left"/>
      <w:pPr>
        <w:ind w:left="-278" w:firstLine="420"/>
      </w:pPr>
      <w:rPr>
        <w:rFonts w:hint="eastAsia"/>
        <w:b/>
        <w:bCs/>
      </w:rPr>
    </w:lvl>
  </w:abstractNum>
  <w:abstractNum w:abstractNumId="11">
    <w:nsid w:val="F6DD739F"/>
    <w:multiLevelType w:val="singleLevel"/>
    <w:tmpl w:val="F6DD739F"/>
    <w:lvl w:ilvl="0" w:tentative="0">
      <w:start w:val="1"/>
      <w:numFmt w:val="decimal"/>
      <w:lvlText w:val="%1."/>
      <w:lvlJc w:val="left"/>
      <w:pPr>
        <w:ind w:left="425" w:hanging="425"/>
      </w:pPr>
      <w:rPr>
        <w:rFonts w:hint="default"/>
      </w:rPr>
    </w:lvl>
  </w:abstractNum>
  <w:abstractNum w:abstractNumId="12">
    <w:nsid w:val="FE3CD214"/>
    <w:multiLevelType w:val="singleLevel"/>
    <w:tmpl w:val="FE3CD214"/>
    <w:lvl w:ilvl="0" w:tentative="0">
      <w:start w:val="1"/>
      <w:numFmt w:val="decimal"/>
      <w:lvlText w:val="(%1)"/>
      <w:lvlJc w:val="left"/>
      <w:pPr>
        <w:ind w:left="425" w:hanging="425"/>
      </w:pPr>
      <w:rPr>
        <w:rFonts w:hint="default" w:ascii="宋体" w:hAnsi="宋体" w:eastAsia="宋体" w:cs="宋体"/>
      </w:rPr>
    </w:lvl>
  </w:abstractNum>
  <w:abstractNum w:abstractNumId="13">
    <w:nsid w:val="FE8A9E4D"/>
    <w:multiLevelType w:val="singleLevel"/>
    <w:tmpl w:val="FE8A9E4D"/>
    <w:lvl w:ilvl="0" w:tentative="0">
      <w:start w:val="1"/>
      <w:numFmt w:val="decimal"/>
      <w:lvlText w:val="%1."/>
      <w:lvlJc w:val="left"/>
      <w:pPr>
        <w:ind w:left="425" w:hanging="425"/>
      </w:pPr>
      <w:rPr>
        <w:rFonts w:hint="default"/>
      </w:rPr>
    </w:lvl>
  </w:abstractNum>
  <w:abstractNum w:abstractNumId="14">
    <w:nsid w:val="00000004"/>
    <w:multiLevelType w:val="multilevel"/>
    <w:tmpl w:val="00000004"/>
    <w:lvl w:ilvl="0" w:tentative="0">
      <w:start w:val="1"/>
      <w:numFmt w:val="decimal"/>
      <w:lvlText w:val="(%1)"/>
      <w:lvlJc w:val="left"/>
      <w:pPr>
        <w:tabs>
          <w:tab w:val="left" w:pos="1920"/>
        </w:tabs>
        <w:ind w:left="1920" w:hanging="360"/>
      </w:pPr>
      <w:rPr>
        <w:rFonts w:hint="eastAsia" w:eastAsia="宋体"/>
      </w:rPr>
    </w:lvl>
    <w:lvl w:ilvl="1" w:tentative="0">
      <w:start w:val="2"/>
      <w:numFmt w:val="decimal"/>
      <w:lvlText w:val="%2、"/>
      <w:lvlJc w:val="left"/>
      <w:pPr>
        <w:tabs>
          <w:tab w:val="left" w:pos="1140"/>
        </w:tabs>
        <w:ind w:left="1140" w:hanging="720"/>
      </w:pPr>
      <w:rPr>
        <w:rFonts w:hint="default"/>
      </w:rPr>
    </w:lvl>
    <w:lvl w:ilvl="2" w:tentative="0">
      <w:start w:val="2"/>
      <w:numFmt w:val="japaneseCounting"/>
      <w:lvlText w:val="（%3）"/>
      <w:lvlJc w:val="left"/>
      <w:pPr>
        <w:tabs>
          <w:tab w:val="left" w:pos="1560"/>
        </w:tabs>
        <w:ind w:left="1560" w:hanging="720"/>
      </w:pPr>
      <w:rPr>
        <w:rFonts w:hint="default" w:ascii="Times New Roman"/>
        <w:sz w:val="21"/>
      </w:rPr>
    </w:lvl>
    <w:lvl w:ilvl="3" w:tentative="0">
      <w:start w:val="1"/>
      <w:numFmt w:val="decimal"/>
      <w:lvlText w:val="（%4）"/>
      <w:lvlJc w:val="left"/>
      <w:pPr>
        <w:tabs>
          <w:tab w:val="left" w:pos="1980"/>
        </w:tabs>
        <w:ind w:left="1980" w:hanging="720"/>
      </w:pPr>
      <w:rPr>
        <w:rFonts w:hint="default" w:hAnsi="Times New Roman"/>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7"/>
    <w:multiLevelType w:val="multilevel"/>
    <w:tmpl w:val="00000007"/>
    <w:lvl w:ilvl="0" w:tentative="0">
      <w:start w:val="1"/>
      <w:numFmt w:val="decimal"/>
      <w:pStyle w:val="43"/>
      <w:lvlText w:val="%1."/>
      <w:lvlJc w:val="left"/>
      <w:pPr>
        <w:tabs>
          <w:tab w:val="left" w:pos="851"/>
        </w:tabs>
        <w:ind w:left="851" w:hanging="851"/>
      </w:pPr>
      <w:rPr>
        <w:rFonts w:hint="eastAsia" w:ascii="宋体" w:eastAsia="宋体"/>
        <w:b/>
        <w:i w:val="0"/>
        <w:sz w:val="24"/>
      </w:rPr>
    </w:lvl>
    <w:lvl w:ilvl="1" w:tentative="0">
      <w:start w:val="1"/>
      <w:numFmt w:val="decimal"/>
      <w:lvlText w:val="29.2.%2."/>
      <w:lvlJc w:val="left"/>
      <w:pPr>
        <w:tabs>
          <w:tab w:val="left" w:pos="396"/>
        </w:tabs>
        <w:ind w:left="396" w:hanging="396"/>
      </w:pPr>
      <w:rPr>
        <w:rFonts w:hint="eastAsia"/>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6">
    <w:nsid w:val="0000000F"/>
    <w:multiLevelType w:val="multilevel"/>
    <w:tmpl w:val="0000000F"/>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2"/>
    <w:multiLevelType w:val="multilevel"/>
    <w:tmpl w:val="00000012"/>
    <w:lvl w:ilvl="0" w:tentative="0">
      <w:start w:val="1"/>
      <w:numFmt w:val="japaneseCounting"/>
      <w:lvlText w:val="%1、"/>
      <w:lvlJc w:val="left"/>
      <w:pPr>
        <w:ind w:left="360" w:hanging="360"/>
      </w:pPr>
      <w:rPr>
        <w:rFonts w:ascii="宋体" w:hAnsi="宋体" w:eastAsia="宋体"/>
        <w:lang w:val="en-US"/>
      </w:rPr>
    </w:lvl>
    <w:lvl w:ilvl="1" w:tentative="0">
      <w:start w:val="1"/>
      <w:numFmt w:val="lowerLetter"/>
      <w:lvlText w:val="%2)"/>
      <w:lvlJc w:val="left"/>
      <w:pPr>
        <w:ind w:left="698" w:hanging="420"/>
      </w:pPr>
    </w:lvl>
    <w:lvl w:ilvl="2" w:tentative="0">
      <w:start w:val="1"/>
      <w:numFmt w:val="lowerRoman"/>
      <w:lvlText w:val="%3."/>
      <w:lvlJc w:val="right"/>
      <w:pPr>
        <w:ind w:left="1118" w:hanging="420"/>
      </w:pPr>
    </w:lvl>
    <w:lvl w:ilvl="3" w:tentative="0">
      <w:start w:val="1"/>
      <w:numFmt w:val="decimal"/>
      <w:lvlText w:val="%4."/>
      <w:lvlJc w:val="left"/>
      <w:pPr>
        <w:ind w:left="1538" w:hanging="420"/>
      </w:pPr>
    </w:lvl>
    <w:lvl w:ilvl="4" w:tentative="0">
      <w:start w:val="1"/>
      <w:numFmt w:val="lowerLetter"/>
      <w:lvlText w:val="%5)"/>
      <w:lvlJc w:val="left"/>
      <w:pPr>
        <w:ind w:left="1958" w:hanging="420"/>
      </w:pPr>
    </w:lvl>
    <w:lvl w:ilvl="5" w:tentative="0">
      <w:start w:val="1"/>
      <w:numFmt w:val="lowerRoman"/>
      <w:lvlText w:val="%6."/>
      <w:lvlJc w:val="right"/>
      <w:pPr>
        <w:ind w:left="2378" w:hanging="420"/>
      </w:pPr>
    </w:lvl>
    <w:lvl w:ilvl="6" w:tentative="0">
      <w:start w:val="1"/>
      <w:numFmt w:val="decimal"/>
      <w:lvlText w:val="%7."/>
      <w:lvlJc w:val="left"/>
      <w:pPr>
        <w:ind w:left="2798" w:hanging="420"/>
      </w:pPr>
    </w:lvl>
    <w:lvl w:ilvl="7" w:tentative="0">
      <w:start w:val="1"/>
      <w:numFmt w:val="lowerLetter"/>
      <w:lvlText w:val="%8)"/>
      <w:lvlJc w:val="left"/>
      <w:pPr>
        <w:ind w:left="3218" w:hanging="420"/>
      </w:pPr>
    </w:lvl>
    <w:lvl w:ilvl="8" w:tentative="0">
      <w:start w:val="1"/>
      <w:numFmt w:val="lowerRoman"/>
      <w:lvlText w:val="%9."/>
      <w:lvlJc w:val="right"/>
      <w:pPr>
        <w:ind w:left="3638" w:hanging="420"/>
      </w:pPr>
    </w:lvl>
  </w:abstractNum>
  <w:abstractNum w:abstractNumId="18">
    <w:nsid w:val="00000015"/>
    <w:multiLevelType w:val="multilevel"/>
    <w:tmpl w:val="00000015"/>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9">
    <w:nsid w:val="00000020"/>
    <w:multiLevelType w:val="multilevel"/>
    <w:tmpl w:val="00000020"/>
    <w:lvl w:ilvl="0" w:tentative="0">
      <w:start w:val="1"/>
      <w:numFmt w:val="decimal"/>
      <w:lvlText w:val="格式%1"/>
      <w:lvlJc w:val="left"/>
      <w:pPr>
        <w:tabs>
          <w:tab w:val="left" w:pos="1135"/>
        </w:tabs>
        <w:ind w:left="1135" w:hanging="425"/>
      </w:pPr>
      <w:rPr>
        <w:rFonts w:hint="eastAsia" w:ascii="黑体" w:eastAsia="黑体"/>
        <w:b w:val="0"/>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20">
    <w:nsid w:val="00000025"/>
    <w:multiLevelType w:val="multilevel"/>
    <w:tmpl w:val="00000025"/>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chineseCountingThousand"/>
      <w:lvlText w:val="%6、"/>
      <w:lvlJc w:val="left"/>
      <w:pPr>
        <w:tabs>
          <w:tab w:val="left" w:pos="2520"/>
        </w:tabs>
        <w:ind w:left="2520" w:hanging="420"/>
      </w:pPr>
    </w:lvl>
    <w:lvl w:ilvl="6" w:tentative="0">
      <w:start w:val="1"/>
      <w:numFmt w:val="decimal"/>
      <w:lvlText w:val="%7．"/>
      <w:lvlJc w:val="left"/>
      <w:pPr>
        <w:tabs>
          <w:tab w:val="left" w:pos="3240"/>
        </w:tabs>
        <w:ind w:left="3240" w:hanging="720"/>
      </w:pPr>
      <w:rPr>
        <w:rFonts w:ascii="宋体" w:hAnsi="宋体"/>
        <w:sz w:val="21"/>
      </w:rPr>
    </w:lvl>
    <w:lvl w:ilvl="7" w:tentative="0">
      <w:start w:val="1"/>
      <w:numFmt w:val="decimal"/>
      <w:lvlText w:val="%8)"/>
      <w:lvlJc w:val="left"/>
      <w:pPr>
        <w:tabs>
          <w:tab w:val="left" w:pos="3360"/>
        </w:tabs>
        <w:ind w:left="3360" w:hanging="420"/>
      </w:pPr>
    </w:lvl>
    <w:lvl w:ilvl="8" w:tentative="0">
      <w:start w:val="1"/>
      <w:numFmt w:val="decimal"/>
      <w:lvlText w:val="%9."/>
      <w:lvlJc w:val="left"/>
      <w:pPr>
        <w:tabs>
          <w:tab w:val="left" w:pos="6480"/>
        </w:tabs>
        <w:ind w:left="6480" w:hanging="360"/>
      </w:pPr>
    </w:lvl>
  </w:abstractNum>
  <w:abstractNum w:abstractNumId="21">
    <w:nsid w:val="00000030"/>
    <w:multiLevelType w:val="multilevel"/>
    <w:tmpl w:val="00000030"/>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33"/>
    <w:multiLevelType w:val="multilevel"/>
    <w:tmpl w:val="0000003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34"/>
    <w:multiLevelType w:val="multilevel"/>
    <w:tmpl w:val="00000034"/>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4A"/>
    <w:multiLevelType w:val="multilevel"/>
    <w:tmpl w:val="0000004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5">
    <w:nsid w:val="072E990F"/>
    <w:multiLevelType w:val="singleLevel"/>
    <w:tmpl w:val="072E990F"/>
    <w:lvl w:ilvl="0" w:tentative="0">
      <w:start w:val="1"/>
      <w:numFmt w:val="decimal"/>
      <w:suff w:val="nothing"/>
      <w:lvlText w:val="（%1）"/>
      <w:lvlJc w:val="left"/>
    </w:lvl>
  </w:abstractNum>
  <w:abstractNum w:abstractNumId="26">
    <w:nsid w:val="100306C5"/>
    <w:multiLevelType w:val="multilevel"/>
    <w:tmpl w:val="100306C5"/>
    <w:lvl w:ilvl="0" w:tentative="0">
      <w:start w:val="1"/>
      <w:numFmt w:val="lowerLetter"/>
      <w:lvlText w:val="%1."/>
      <w:lvlJc w:val="left"/>
      <w:pPr>
        <w:tabs>
          <w:tab w:val="left" w:pos="420"/>
        </w:tabs>
        <w:ind w:left="420"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Letter"/>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169915C2"/>
    <w:multiLevelType w:val="singleLevel"/>
    <w:tmpl w:val="169915C2"/>
    <w:lvl w:ilvl="0" w:tentative="0">
      <w:start w:val="1"/>
      <w:numFmt w:val="decimal"/>
      <w:lvlText w:val="%1."/>
      <w:lvlJc w:val="left"/>
      <w:pPr>
        <w:ind w:left="425" w:hanging="425"/>
      </w:pPr>
      <w:rPr>
        <w:rFonts w:hint="default"/>
      </w:rPr>
    </w:lvl>
  </w:abstractNum>
  <w:abstractNum w:abstractNumId="29">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30">
    <w:nsid w:val="188577B9"/>
    <w:multiLevelType w:val="singleLevel"/>
    <w:tmpl w:val="188577B9"/>
    <w:lvl w:ilvl="0" w:tentative="0">
      <w:start w:val="1"/>
      <w:numFmt w:val="decimal"/>
      <w:suff w:val="nothing"/>
      <w:lvlText w:val="（%1）"/>
      <w:lvlJc w:val="left"/>
    </w:lvl>
  </w:abstractNum>
  <w:abstractNum w:abstractNumId="31">
    <w:nsid w:val="1BFBD7A2"/>
    <w:multiLevelType w:val="singleLevel"/>
    <w:tmpl w:val="1BFBD7A2"/>
    <w:lvl w:ilvl="0" w:tentative="0">
      <w:start w:val="1"/>
      <w:numFmt w:val="decimal"/>
      <w:lvlText w:val="%1."/>
      <w:lvlJc w:val="left"/>
      <w:pPr>
        <w:ind w:left="425" w:hanging="425"/>
      </w:pPr>
      <w:rPr>
        <w:rFonts w:hint="default"/>
      </w:rPr>
    </w:lvl>
  </w:abstractNum>
  <w:abstractNum w:abstractNumId="32">
    <w:nsid w:val="2C991B0E"/>
    <w:multiLevelType w:val="singleLevel"/>
    <w:tmpl w:val="2C991B0E"/>
    <w:lvl w:ilvl="0" w:tentative="0">
      <w:start w:val="1"/>
      <w:numFmt w:val="decimal"/>
      <w:lvlText w:val="%1."/>
      <w:lvlJc w:val="left"/>
      <w:pPr>
        <w:ind w:left="425" w:hanging="425"/>
      </w:pPr>
      <w:rPr>
        <w:rFonts w:hint="default"/>
      </w:rPr>
    </w:lvl>
  </w:abstractNum>
  <w:abstractNum w:abstractNumId="33">
    <w:nsid w:val="2FA6CD8B"/>
    <w:multiLevelType w:val="singleLevel"/>
    <w:tmpl w:val="2FA6CD8B"/>
    <w:lvl w:ilvl="0" w:tentative="0">
      <w:start w:val="1"/>
      <w:numFmt w:val="decimal"/>
      <w:lvlText w:val="%1."/>
      <w:lvlJc w:val="left"/>
      <w:pPr>
        <w:ind w:left="425" w:hanging="425"/>
      </w:pPr>
      <w:rPr>
        <w:rFonts w:hint="default"/>
      </w:rPr>
    </w:lvl>
  </w:abstractNum>
  <w:abstractNum w:abstractNumId="34">
    <w:nsid w:val="37C3FD18"/>
    <w:multiLevelType w:val="singleLevel"/>
    <w:tmpl w:val="37C3FD18"/>
    <w:lvl w:ilvl="0" w:tentative="0">
      <w:start w:val="1"/>
      <w:numFmt w:val="decimal"/>
      <w:lvlText w:val="%1."/>
      <w:lvlJc w:val="left"/>
      <w:pPr>
        <w:ind w:left="425" w:hanging="425"/>
      </w:pPr>
      <w:rPr>
        <w:rFonts w:hint="default"/>
      </w:rPr>
    </w:lvl>
  </w:abstractNum>
  <w:abstractNum w:abstractNumId="35">
    <w:nsid w:val="40C97017"/>
    <w:multiLevelType w:val="multilevel"/>
    <w:tmpl w:val="40C97017"/>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chineseCountingThousand"/>
      <w:lvlText w:val="%6、"/>
      <w:lvlJc w:val="left"/>
      <w:pPr>
        <w:tabs>
          <w:tab w:val="left" w:pos="2520"/>
        </w:tabs>
        <w:ind w:left="2520" w:hanging="420"/>
      </w:pPr>
    </w:lvl>
    <w:lvl w:ilvl="6" w:tentative="0">
      <w:start w:val="1"/>
      <w:numFmt w:val="decimal"/>
      <w:lvlText w:val="%7．"/>
      <w:lvlJc w:val="left"/>
      <w:pPr>
        <w:tabs>
          <w:tab w:val="left" w:pos="3240"/>
        </w:tabs>
        <w:ind w:left="3240" w:hanging="720"/>
      </w:pPr>
      <w:rPr>
        <w:rFonts w:ascii="宋体" w:hAnsi="宋体"/>
        <w:sz w:val="21"/>
      </w:rPr>
    </w:lvl>
    <w:lvl w:ilvl="7" w:tentative="0">
      <w:start w:val="1"/>
      <w:numFmt w:val="decimal"/>
      <w:lvlText w:val="%8)"/>
      <w:lvlJc w:val="left"/>
      <w:pPr>
        <w:tabs>
          <w:tab w:val="left" w:pos="3360"/>
        </w:tabs>
        <w:ind w:left="3360" w:hanging="420"/>
      </w:pPr>
    </w:lvl>
    <w:lvl w:ilvl="8" w:tentative="0">
      <w:start w:val="1"/>
      <w:numFmt w:val="decimal"/>
      <w:lvlText w:val="%9."/>
      <w:lvlJc w:val="left"/>
      <w:pPr>
        <w:tabs>
          <w:tab w:val="left" w:pos="6480"/>
        </w:tabs>
        <w:ind w:left="6480" w:hanging="360"/>
      </w:pPr>
    </w:lvl>
  </w:abstractNum>
  <w:abstractNum w:abstractNumId="36">
    <w:nsid w:val="44DA27F3"/>
    <w:multiLevelType w:val="multilevel"/>
    <w:tmpl w:val="44DA27F3"/>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dstrike w:val="0"/>
        <w:color w:val="auto"/>
        <w:sz w:val="21"/>
        <w:szCs w:val="21"/>
      </w:rPr>
    </w:lvl>
    <w:lvl w:ilvl="2" w:tentative="0">
      <w:start w:val="1"/>
      <w:numFmt w:val="decimal"/>
      <w:lvlText w:val="%1.%2.%3."/>
      <w:lvlJc w:val="left"/>
      <w:pPr>
        <w:ind w:left="709" w:hanging="709"/>
      </w:pPr>
      <w:rPr>
        <w:rFonts w:ascii="宋体" w:hAnsi="宋体" w:eastAsia="宋体"/>
        <w:dstrike w:val="0"/>
        <w:color w:val="auto"/>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7">
    <w:nsid w:val="4D8940A5"/>
    <w:multiLevelType w:val="multilevel"/>
    <w:tmpl w:val="4D8940A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8">
    <w:nsid w:val="4DA214D7"/>
    <w:multiLevelType w:val="multilevel"/>
    <w:tmpl w:val="4DA214D7"/>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4FB854AD"/>
    <w:multiLevelType w:val="singleLevel"/>
    <w:tmpl w:val="4FB854AD"/>
    <w:lvl w:ilvl="0" w:tentative="0">
      <w:start w:val="1"/>
      <w:numFmt w:val="chineseCounting"/>
      <w:suff w:val="nothing"/>
      <w:lvlText w:val="（%1）"/>
      <w:lvlJc w:val="left"/>
      <w:pPr>
        <w:ind w:left="0" w:firstLine="420"/>
      </w:pPr>
      <w:rPr>
        <w:rFonts w:hint="eastAsia"/>
      </w:rPr>
    </w:lvl>
  </w:abstractNum>
  <w:abstractNum w:abstractNumId="40">
    <w:nsid w:val="59AE446A"/>
    <w:multiLevelType w:val="multilevel"/>
    <w:tmpl w:val="59AE446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1">
    <w:nsid w:val="5F3E08D3"/>
    <w:multiLevelType w:val="multilevel"/>
    <w:tmpl w:val="5F3E08D3"/>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8875A81"/>
    <w:multiLevelType w:val="multilevel"/>
    <w:tmpl w:val="68875A8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3">
    <w:nsid w:val="700F5F4B"/>
    <w:multiLevelType w:val="multilevel"/>
    <w:tmpl w:val="700F5F4B"/>
    <w:lvl w:ilvl="0" w:tentative="0">
      <w:start w:val="1"/>
      <w:numFmt w:val="decimal"/>
      <w:lvlText w:val="%1."/>
      <w:lvlJc w:val="left"/>
      <w:pPr>
        <w:ind w:left="425" w:hanging="425"/>
      </w:pPr>
      <w:rPr>
        <w:rFonts w:hint="default" w:ascii="宋体" w:hAnsi="宋体" w:eastAsia="宋体" w:cs="宋体"/>
        <w:sz w:val="21"/>
        <w:szCs w:val="21"/>
      </w:rPr>
    </w:lvl>
    <w:lvl w:ilvl="1" w:tentative="0">
      <w:start w:val="1"/>
      <w:numFmt w:val="decimal"/>
      <w:suff w:val="space"/>
      <w:lvlText w:val="%1.%2"/>
      <w:lvlJc w:val="left"/>
      <w:pPr>
        <w:ind w:left="0" w:firstLine="0"/>
      </w:pPr>
      <w:rPr>
        <w:rFonts w:hint="default" w:ascii="宋体" w:hAnsi="宋体" w:eastAsia="宋体" w:cs="宋体"/>
        <w:sz w:val="21"/>
        <w:szCs w:val="21"/>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4">
    <w:nsid w:val="716E4FD3"/>
    <w:multiLevelType w:val="singleLevel"/>
    <w:tmpl w:val="716E4FD3"/>
    <w:lvl w:ilvl="0" w:tentative="0">
      <w:start w:val="1"/>
      <w:numFmt w:val="chineseCounting"/>
      <w:suff w:val="nothing"/>
      <w:lvlText w:val="%1、"/>
      <w:lvlJc w:val="left"/>
      <w:pPr>
        <w:ind w:left="0" w:firstLine="420"/>
      </w:pPr>
      <w:rPr>
        <w:rFonts w:hint="eastAsia"/>
      </w:rPr>
    </w:lvl>
  </w:abstractNum>
  <w:abstractNum w:abstractNumId="45">
    <w:nsid w:val="753110F0"/>
    <w:multiLevelType w:val="singleLevel"/>
    <w:tmpl w:val="753110F0"/>
    <w:lvl w:ilvl="0" w:tentative="0">
      <w:start w:val="1"/>
      <w:numFmt w:val="decimal"/>
      <w:lvlText w:val="(%1)"/>
      <w:lvlJc w:val="left"/>
      <w:pPr>
        <w:ind w:left="425" w:hanging="425"/>
      </w:pPr>
      <w:rPr>
        <w:rFonts w:hint="default" w:ascii="宋体" w:hAnsi="宋体" w:eastAsia="宋体" w:cs="宋体"/>
      </w:rPr>
    </w:lvl>
  </w:abstractNum>
  <w:num w:numId="1">
    <w:abstractNumId w:val="15"/>
  </w:num>
  <w:num w:numId="2">
    <w:abstractNumId w:val="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31"/>
  </w:num>
  <w:num w:numId="6">
    <w:abstractNumId w:val="3"/>
  </w:num>
  <w:num w:numId="7">
    <w:abstractNumId w:val="4"/>
  </w:num>
  <w:num w:numId="8">
    <w:abstractNumId w:val="13"/>
  </w:num>
  <w:num w:numId="9">
    <w:abstractNumId w:val="10"/>
  </w:num>
  <w:num w:numId="10">
    <w:abstractNumId w:val="24"/>
  </w:num>
  <w:num w:numId="11">
    <w:abstractNumId w:val="20"/>
  </w:num>
  <w:num w:numId="12">
    <w:abstractNumId w:val="11"/>
  </w:num>
  <w:num w:numId="13">
    <w:abstractNumId w:val="35"/>
  </w:num>
  <w:num w:numId="14">
    <w:abstractNumId w:val="45"/>
  </w:num>
  <w:num w:numId="15">
    <w:abstractNumId w:val="2"/>
  </w:num>
  <w:num w:numId="16">
    <w:abstractNumId w:val="5"/>
  </w:num>
  <w:num w:numId="17">
    <w:abstractNumId w:val="25"/>
  </w:num>
  <w:num w:numId="18">
    <w:abstractNumId w:val="26"/>
  </w:num>
  <w:num w:numId="19">
    <w:abstractNumId w:val="36"/>
  </w:num>
  <w:num w:numId="20">
    <w:abstractNumId w:val="1"/>
  </w:num>
  <w:num w:numId="21">
    <w:abstractNumId w:val="18"/>
  </w:num>
  <w:num w:numId="22">
    <w:abstractNumId w:val="14"/>
  </w:num>
  <w:num w:numId="23">
    <w:abstractNumId w:val="9"/>
  </w:num>
  <w:num w:numId="24">
    <w:abstractNumId w:val="43"/>
  </w:num>
  <w:num w:numId="25">
    <w:abstractNumId w:val="8"/>
  </w:num>
  <w:num w:numId="26">
    <w:abstractNumId w:val="41"/>
  </w:num>
  <w:num w:numId="27">
    <w:abstractNumId w:val="38"/>
  </w:num>
  <w:num w:numId="28">
    <w:abstractNumId w:val="6"/>
  </w:num>
  <w:num w:numId="29">
    <w:abstractNumId w:val="29"/>
  </w:num>
  <w:num w:numId="30">
    <w:abstractNumId w:val="28"/>
  </w:num>
  <w:num w:numId="31">
    <w:abstractNumId w:val="39"/>
  </w:num>
  <w:num w:numId="32">
    <w:abstractNumId w:val="33"/>
  </w:num>
  <w:num w:numId="33">
    <w:abstractNumId w:val="12"/>
  </w:num>
  <w:num w:numId="34">
    <w:abstractNumId w:val="34"/>
  </w:num>
  <w:num w:numId="35">
    <w:abstractNumId w:val="7"/>
  </w:num>
  <w:num w:numId="36">
    <w:abstractNumId w:val="30"/>
  </w:num>
  <w:num w:numId="37">
    <w:abstractNumId w:val="42"/>
  </w:num>
  <w:num w:numId="38">
    <w:abstractNumId w:val="40"/>
  </w:num>
  <w:num w:numId="39">
    <w:abstractNumId w:val="21"/>
  </w:num>
  <w:num w:numId="40">
    <w:abstractNumId w:val="16"/>
  </w:num>
  <w:num w:numId="41">
    <w:abstractNumId w:val="19"/>
  </w:num>
  <w:num w:numId="42">
    <w:abstractNumId w:val="37"/>
  </w:num>
  <w:num w:numId="43">
    <w:abstractNumId w:val="32"/>
  </w:num>
  <w:num w:numId="44">
    <w:abstractNumId w:val="22"/>
  </w:num>
  <w:num w:numId="45">
    <w:abstractNumId w:val="27"/>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56D1E"/>
    <w:rsid w:val="000019E8"/>
    <w:rsid w:val="00001DE8"/>
    <w:rsid w:val="00004202"/>
    <w:rsid w:val="00010B0C"/>
    <w:rsid w:val="000173BB"/>
    <w:rsid w:val="00020F34"/>
    <w:rsid w:val="00024F1B"/>
    <w:rsid w:val="00024F21"/>
    <w:rsid w:val="00026367"/>
    <w:rsid w:val="00031333"/>
    <w:rsid w:val="00032290"/>
    <w:rsid w:val="00036608"/>
    <w:rsid w:val="00036716"/>
    <w:rsid w:val="000410F5"/>
    <w:rsid w:val="00041E01"/>
    <w:rsid w:val="00042FFA"/>
    <w:rsid w:val="00062525"/>
    <w:rsid w:val="00064C32"/>
    <w:rsid w:val="000651E7"/>
    <w:rsid w:val="000713A4"/>
    <w:rsid w:val="00071A74"/>
    <w:rsid w:val="0007400C"/>
    <w:rsid w:val="000749A5"/>
    <w:rsid w:val="00076CEE"/>
    <w:rsid w:val="000773A6"/>
    <w:rsid w:val="00086D43"/>
    <w:rsid w:val="00095CFE"/>
    <w:rsid w:val="0009681A"/>
    <w:rsid w:val="000A0742"/>
    <w:rsid w:val="000A45F9"/>
    <w:rsid w:val="000A5FFB"/>
    <w:rsid w:val="000B56AC"/>
    <w:rsid w:val="000B6C45"/>
    <w:rsid w:val="000C2F3E"/>
    <w:rsid w:val="000D29DB"/>
    <w:rsid w:val="000D4213"/>
    <w:rsid w:val="000D6139"/>
    <w:rsid w:val="000D768A"/>
    <w:rsid w:val="000D7D8E"/>
    <w:rsid w:val="000E1B5A"/>
    <w:rsid w:val="000E1B6A"/>
    <w:rsid w:val="000E3178"/>
    <w:rsid w:val="000E346A"/>
    <w:rsid w:val="000E584B"/>
    <w:rsid w:val="000F21FC"/>
    <w:rsid w:val="000F4870"/>
    <w:rsid w:val="000F6BE6"/>
    <w:rsid w:val="001061A9"/>
    <w:rsid w:val="00110CEB"/>
    <w:rsid w:val="001137B6"/>
    <w:rsid w:val="00113BA7"/>
    <w:rsid w:val="0011452C"/>
    <w:rsid w:val="00114ABF"/>
    <w:rsid w:val="00115B6F"/>
    <w:rsid w:val="0012008F"/>
    <w:rsid w:val="00132AF2"/>
    <w:rsid w:val="00134071"/>
    <w:rsid w:val="00134576"/>
    <w:rsid w:val="00145387"/>
    <w:rsid w:val="001501CF"/>
    <w:rsid w:val="00150BC2"/>
    <w:rsid w:val="00150DD7"/>
    <w:rsid w:val="0015358E"/>
    <w:rsid w:val="00156F9E"/>
    <w:rsid w:val="00170C5E"/>
    <w:rsid w:val="00172DE5"/>
    <w:rsid w:val="00175C24"/>
    <w:rsid w:val="00180219"/>
    <w:rsid w:val="0018372F"/>
    <w:rsid w:val="00186A74"/>
    <w:rsid w:val="0019526D"/>
    <w:rsid w:val="001B0ED4"/>
    <w:rsid w:val="001B7C48"/>
    <w:rsid w:val="001C5EF6"/>
    <w:rsid w:val="001D02E9"/>
    <w:rsid w:val="001D08BC"/>
    <w:rsid w:val="001D172C"/>
    <w:rsid w:val="001D501F"/>
    <w:rsid w:val="001D5453"/>
    <w:rsid w:val="001D7CF3"/>
    <w:rsid w:val="001F3E4D"/>
    <w:rsid w:val="001F5118"/>
    <w:rsid w:val="00202A5B"/>
    <w:rsid w:val="00204F46"/>
    <w:rsid w:val="002179EA"/>
    <w:rsid w:val="00217AA8"/>
    <w:rsid w:val="00217E10"/>
    <w:rsid w:val="0022287F"/>
    <w:rsid w:val="00224087"/>
    <w:rsid w:val="002262A0"/>
    <w:rsid w:val="00233507"/>
    <w:rsid w:val="00235B76"/>
    <w:rsid w:val="00242156"/>
    <w:rsid w:val="00247D06"/>
    <w:rsid w:val="00253052"/>
    <w:rsid w:val="00256B6F"/>
    <w:rsid w:val="00260094"/>
    <w:rsid w:val="00266C13"/>
    <w:rsid w:val="00274251"/>
    <w:rsid w:val="0027770A"/>
    <w:rsid w:val="002824DB"/>
    <w:rsid w:val="002850E6"/>
    <w:rsid w:val="00285540"/>
    <w:rsid w:val="0028567A"/>
    <w:rsid w:val="0029190D"/>
    <w:rsid w:val="0029477A"/>
    <w:rsid w:val="00296F34"/>
    <w:rsid w:val="002A1DAF"/>
    <w:rsid w:val="002B07BA"/>
    <w:rsid w:val="002B3134"/>
    <w:rsid w:val="002B3599"/>
    <w:rsid w:val="002B450E"/>
    <w:rsid w:val="002B5BC2"/>
    <w:rsid w:val="002C1F3A"/>
    <w:rsid w:val="002C6D92"/>
    <w:rsid w:val="002C7B1C"/>
    <w:rsid w:val="002D2B17"/>
    <w:rsid w:val="002E10C9"/>
    <w:rsid w:val="002F61A4"/>
    <w:rsid w:val="003010DA"/>
    <w:rsid w:val="003116F2"/>
    <w:rsid w:val="0031178A"/>
    <w:rsid w:val="00313342"/>
    <w:rsid w:val="00313EF0"/>
    <w:rsid w:val="00316C09"/>
    <w:rsid w:val="00324D8E"/>
    <w:rsid w:val="00325557"/>
    <w:rsid w:val="00334FED"/>
    <w:rsid w:val="00335E45"/>
    <w:rsid w:val="00336558"/>
    <w:rsid w:val="0034046C"/>
    <w:rsid w:val="00346992"/>
    <w:rsid w:val="003530B0"/>
    <w:rsid w:val="00356F77"/>
    <w:rsid w:val="00357158"/>
    <w:rsid w:val="00361D6C"/>
    <w:rsid w:val="003636F0"/>
    <w:rsid w:val="00363C83"/>
    <w:rsid w:val="00367194"/>
    <w:rsid w:val="00370311"/>
    <w:rsid w:val="00373CDF"/>
    <w:rsid w:val="00374632"/>
    <w:rsid w:val="00376D6F"/>
    <w:rsid w:val="00385BE6"/>
    <w:rsid w:val="00392D4D"/>
    <w:rsid w:val="00394FE4"/>
    <w:rsid w:val="00397EC0"/>
    <w:rsid w:val="003A769A"/>
    <w:rsid w:val="003A7D27"/>
    <w:rsid w:val="003B2192"/>
    <w:rsid w:val="003B21A1"/>
    <w:rsid w:val="003B22B5"/>
    <w:rsid w:val="003B2DD5"/>
    <w:rsid w:val="003B71B8"/>
    <w:rsid w:val="003B7861"/>
    <w:rsid w:val="003C290F"/>
    <w:rsid w:val="003C7315"/>
    <w:rsid w:val="003D1C19"/>
    <w:rsid w:val="003D7770"/>
    <w:rsid w:val="003E6298"/>
    <w:rsid w:val="00401899"/>
    <w:rsid w:val="004052C4"/>
    <w:rsid w:val="00413E87"/>
    <w:rsid w:val="004151A4"/>
    <w:rsid w:val="004171EB"/>
    <w:rsid w:val="004214F0"/>
    <w:rsid w:val="00421526"/>
    <w:rsid w:val="00423226"/>
    <w:rsid w:val="004263C8"/>
    <w:rsid w:val="00431A3F"/>
    <w:rsid w:val="00431E67"/>
    <w:rsid w:val="00434DB5"/>
    <w:rsid w:val="004353CD"/>
    <w:rsid w:val="004539E5"/>
    <w:rsid w:val="0045670F"/>
    <w:rsid w:val="004567C0"/>
    <w:rsid w:val="00467602"/>
    <w:rsid w:val="00467FAC"/>
    <w:rsid w:val="00473829"/>
    <w:rsid w:val="004744B1"/>
    <w:rsid w:val="00475915"/>
    <w:rsid w:val="004804AA"/>
    <w:rsid w:val="00483C5E"/>
    <w:rsid w:val="004920CD"/>
    <w:rsid w:val="00492960"/>
    <w:rsid w:val="00495026"/>
    <w:rsid w:val="004A22E3"/>
    <w:rsid w:val="004A24E5"/>
    <w:rsid w:val="004A525E"/>
    <w:rsid w:val="004B3ABF"/>
    <w:rsid w:val="004B4A1A"/>
    <w:rsid w:val="004C0090"/>
    <w:rsid w:val="004C764E"/>
    <w:rsid w:val="004D3612"/>
    <w:rsid w:val="004D4C50"/>
    <w:rsid w:val="004D7FA5"/>
    <w:rsid w:val="004E4B91"/>
    <w:rsid w:val="00500397"/>
    <w:rsid w:val="00503F9E"/>
    <w:rsid w:val="00511543"/>
    <w:rsid w:val="00521513"/>
    <w:rsid w:val="00524662"/>
    <w:rsid w:val="00525FDF"/>
    <w:rsid w:val="00527565"/>
    <w:rsid w:val="00530559"/>
    <w:rsid w:val="00534000"/>
    <w:rsid w:val="005345ED"/>
    <w:rsid w:val="005353D6"/>
    <w:rsid w:val="00542FC6"/>
    <w:rsid w:val="005434D1"/>
    <w:rsid w:val="005446C8"/>
    <w:rsid w:val="00546DAD"/>
    <w:rsid w:val="0055133F"/>
    <w:rsid w:val="00555F93"/>
    <w:rsid w:val="00564B82"/>
    <w:rsid w:val="00575E45"/>
    <w:rsid w:val="00575E9D"/>
    <w:rsid w:val="0057697A"/>
    <w:rsid w:val="00583A68"/>
    <w:rsid w:val="00586C63"/>
    <w:rsid w:val="00590244"/>
    <w:rsid w:val="0059332B"/>
    <w:rsid w:val="005948B6"/>
    <w:rsid w:val="005B0E0C"/>
    <w:rsid w:val="005C3AC6"/>
    <w:rsid w:val="005C7E6E"/>
    <w:rsid w:val="005C7FCC"/>
    <w:rsid w:val="005D1338"/>
    <w:rsid w:val="005D36FC"/>
    <w:rsid w:val="005D46CD"/>
    <w:rsid w:val="005D4D62"/>
    <w:rsid w:val="005D5053"/>
    <w:rsid w:val="005E3BE5"/>
    <w:rsid w:val="005E5D63"/>
    <w:rsid w:val="005F66AE"/>
    <w:rsid w:val="00601336"/>
    <w:rsid w:val="00635052"/>
    <w:rsid w:val="00650099"/>
    <w:rsid w:val="0065229C"/>
    <w:rsid w:val="00652D72"/>
    <w:rsid w:val="00656E29"/>
    <w:rsid w:val="00664971"/>
    <w:rsid w:val="006726BF"/>
    <w:rsid w:val="0067736C"/>
    <w:rsid w:val="0069078B"/>
    <w:rsid w:val="00691EC6"/>
    <w:rsid w:val="00696319"/>
    <w:rsid w:val="006A120C"/>
    <w:rsid w:val="006A50FA"/>
    <w:rsid w:val="006B168C"/>
    <w:rsid w:val="006B3A12"/>
    <w:rsid w:val="006C325B"/>
    <w:rsid w:val="006D07F7"/>
    <w:rsid w:val="006D0E02"/>
    <w:rsid w:val="006D6D94"/>
    <w:rsid w:val="006E0B96"/>
    <w:rsid w:val="006E49AF"/>
    <w:rsid w:val="006F52AD"/>
    <w:rsid w:val="00705428"/>
    <w:rsid w:val="00707693"/>
    <w:rsid w:val="00710223"/>
    <w:rsid w:val="00724502"/>
    <w:rsid w:val="007357BC"/>
    <w:rsid w:val="00744E3F"/>
    <w:rsid w:val="0075699F"/>
    <w:rsid w:val="007602A3"/>
    <w:rsid w:val="00764C5D"/>
    <w:rsid w:val="0077694B"/>
    <w:rsid w:val="00781438"/>
    <w:rsid w:val="007815C5"/>
    <w:rsid w:val="00783013"/>
    <w:rsid w:val="00791029"/>
    <w:rsid w:val="00791BF3"/>
    <w:rsid w:val="00793624"/>
    <w:rsid w:val="0079453A"/>
    <w:rsid w:val="00795815"/>
    <w:rsid w:val="007A4501"/>
    <w:rsid w:val="007A4CD2"/>
    <w:rsid w:val="007A6CC3"/>
    <w:rsid w:val="007A7B24"/>
    <w:rsid w:val="007B43FF"/>
    <w:rsid w:val="007B6F43"/>
    <w:rsid w:val="007C4325"/>
    <w:rsid w:val="007C6D9C"/>
    <w:rsid w:val="007D05C8"/>
    <w:rsid w:val="007E0538"/>
    <w:rsid w:val="007E0BA1"/>
    <w:rsid w:val="007E101A"/>
    <w:rsid w:val="007E3CD8"/>
    <w:rsid w:val="007F4794"/>
    <w:rsid w:val="007F7455"/>
    <w:rsid w:val="008021FE"/>
    <w:rsid w:val="00810834"/>
    <w:rsid w:val="008136EB"/>
    <w:rsid w:val="00813D31"/>
    <w:rsid w:val="00814C02"/>
    <w:rsid w:val="008242FF"/>
    <w:rsid w:val="00824A8A"/>
    <w:rsid w:val="0084490D"/>
    <w:rsid w:val="00846F8A"/>
    <w:rsid w:val="00847E59"/>
    <w:rsid w:val="008665B8"/>
    <w:rsid w:val="00867A8F"/>
    <w:rsid w:val="008734DC"/>
    <w:rsid w:val="00874D85"/>
    <w:rsid w:val="00876749"/>
    <w:rsid w:val="0088592E"/>
    <w:rsid w:val="00885F31"/>
    <w:rsid w:val="00890517"/>
    <w:rsid w:val="008B0664"/>
    <w:rsid w:val="008B222B"/>
    <w:rsid w:val="008D3F80"/>
    <w:rsid w:val="008D4102"/>
    <w:rsid w:val="008D7765"/>
    <w:rsid w:val="008D7C0E"/>
    <w:rsid w:val="008F11D9"/>
    <w:rsid w:val="008F314A"/>
    <w:rsid w:val="00900D17"/>
    <w:rsid w:val="009035CF"/>
    <w:rsid w:val="00904C78"/>
    <w:rsid w:val="00907EC4"/>
    <w:rsid w:val="00923593"/>
    <w:rsid w:val="0092688F"/>
    <w:rsid w:val="00934CBC"/>
    <w:rsid w:val="00936275"/>
    <w:rsid w:val="00937C96"/>
    <w:rsid w:val="00942EB2"/>
    <w:rsid w:val="009433A7"/>
    <w:rsid w:val="009434AE"/>
    <w:rsid w:val="00943AED"/>
    <w:rsid w:val="0094615B"/>
    <w:rsid w:val="00975562"/>
    <w:rsid w:val="009801B3"/>
    <w:rsid w:val="0098587B"/>
    <w:rsid w:val="00985A05"/>
    <w:rsid w:val="009A01AB"/>
    <w:rsid w:val="009A28FB"/>
    <w:rsid w:val="009A3095"/>
    <w:rsid w:val="009A33B3"/>
    <w:rsid w:val="009B052C"/>
    <w:rsid w:val="009B7B5D"/>
    <w:rsid w:val="009B7C06"/>
    <w:rsid w:val="009C3EB4"/>
    <w:rsid w:val="009C4F8D"/>
    <w:rsid w:val="009D2566"/>
    <w:rsid w:val="009D3DD7"/>
    <w:rsid w:val="009D5F0E"/>
    <w:rsid w:val="009D71F3"/>
    <w:rsid w:val="009E7B7F"/>
    <w:rsid w:val="00A07BFD"/>
    <w:rsid w:val="00A14E7A"/>
    <w:rsid w:val="00A15A80"/>
    <w:rsid w:val="00A216A6"/>
    <w:rsid w:val="00A21E22"/>
    <w:rsid w:val="00A225BC"/>
    <w:rsid w:val="00A23F3C"/>
    <w:rsid w:val="00A329E7"/>
    <w:rsid w:val="00A44341"/>
    <w:rsid w:val="00A47499"/>
    <w:rsid w:val="00A54F13"/>
    <w:rsid w:val="00A56DAB"/>
    <w:rsid w:val="00A57D8E"/>
    <w:rsid w:val="00A64D92"/>
    <w:rsid w:val="00A77E7D"/>
    <w:rsid w:val="00A8308C"/>
    <w:rsid w:val="00A92A7E"/>
    <w:rsid w:val="00A95E1C"/>
    <w:rsid w:val="00AA6C44"/>
    <w:rsid w:val="00AA7512"/>
    <w:rsid w:val="00AB38DD"/>
    <w:rsid w:val="00AB55FB"/>
    <w:rsid w:val="00AC5535"/>
    <w:rsid w:val="00AD665C"/>
    <w:rsid w:val="00AF0391"/>
    <w:rsid w:val="00AF6981"/>
    <w:rsid w:val="00AF7F2E"/>
    <w:rsid w:val="00B02E22"/>
    <w:rsid w:val="00B0553B"/>
    <w:rsid w:val="00B07217"/>
    <w:rsid w:val="00B12640"/>
    <w:rsid w:val="00B20089"/>
    <w:rsid w:val="00B252F6"/>
    <w:rsid w:val="00B27E5B"/>
    <w:rsid w:val="00B30A35"/>
    <w:rsid w:val="00B511D9"/>
    <w:rsid w:val="00B536D0"/>
    <w:rsid w:val="00B56131"/>
    <w:rsid w:val="00B56BF9"/>
    <w:rsid w:val="00B57091"/>
    <w:rsid w:val="00B60D80"/>
    <w:rsid w:val="00B60DB5"/>
    <w:rsid w:val="00B65040"/>
    <w:rsid w:val="00B7015D"/>
    <w:rsid w:val="00B850E2"/>
    <w:rsid w:val="00B90AB8"/>
    <w:rsid w:val="00B92031"/>
    <w:rsid w:val="00B95B09"/>
    <w:rsid w:val="00B97F13"/>
    <w:rsid w:val="00BA2DC6"/>
    <w:rsid w:val="00BA32A1"/>
    <w:rsid w:val="00BA3369"/>
    <w:rsid w:val="00BA532D"/>
    <w:rsid w:val="00BA77BC"/>
    <w:rsid w:val="00BC12E1"/>
    <w:rsid w:val="00BD0269"/>
    <w:rsid w:val="00BD60F1"/>
    <w:rsid w:val="00BE472B"/>
    <w:rsid w:val="00BE49C7"/>
    <w:rsid w:val="00BE5B1F"/>
    <w:rsid w:val="00BF4089"/>
    <w:rsid w:val="00BF6DB0"/>
    <w:rsid w:val="00C05908"/>
    <w:rsid w:val="00C06E41"/>
    <w:rsid w:val="00C06E9B"/>
    <w:rsid w:val="00C1164F"/>
    <w:rsid w:val="00C12C7E"/>
    <w:rsid w:val="00C203AF"/>
    <w:rsid w:val="00C31A88"/>
    <w:rsid w:val="00C362BE"/>
    <w:rsid w:val="00C37A5C"/>
    <w:rsid w:val="00C42D5C"/>
    <w:rsid w:val="00C44806"/>
    <w:rsid w:val="00C50CD7"/>
    <w:rsid w:val="00C53A5D"/>
    <w:rsid w:val="00C6347B"/>
    <w:rsid w:val="00C70E31"/>
    <w:rsid w:val="00C71AC4"/>
    <w:rsid w:val="00C77695"/>
    <w:rsid w:val="00C82215"/>
    <w:rsid w:val="00C82779"/>
    <w:rsid w:val="00C84A80"/>
    <w:rsid w:val="00C86013"/>
    <w:rsid w:val="00C90128"/>
    <w:rsid w:val="00C92B08"/>
    <w:rsid w:val="00C969F9"/>
    <w:rsid w:val="00CA100E"/>
    <w:rsid w:val="00CA3114"/>
    <w:rsid w:val="00CB0B1B"/>
    <w:rsid w:val="00CB332D"/>
    <w:rsid w:val="00CB5332"/>
    <w:rsid w:val="00CB7EE4"/>
    <w:rsid w:val="00CC0CB6"/>
    <w:rsid w:val="00CC4207"/>
    <w:rsid w:val="00CD567F"/>
    <w:rsid w:val="00CE6532"/>
    <w:rsid w:val="00CF3C39"/>
    <w:rsid w:val="00CF57CD"/>
    <w:rsid w:val="00CF67E1"/>
    <w:rsid w:val="00D02B8D"/>
    <w:rsid w:val="00D02BD0"/>
    <w:rsid w:val="00D1086D"/>
    <w:rsid w:val="00D11F9E"/>
    <w:rsid w:val="00D13D49"/>
    <w:rsid w:val="00D155CE"/>
    <w:rsid w:val="00D1567A"/>
    <w:rsid w:val="00D17619"/>
    <w:rsid w:val="00D24392"/>
    <w:rsid w:val="00D24508"/>
    <w:rsid w:val="00D31A1D"/>
    <w:rsid w:val="00D52301"/>
    <w:rsid w:val="00D5306E"/>
    <w:rsid w:val="00D642DF"/>
    <w:rsid w:val="00D65C2D"/>
    <w:rsid w:val="00D74225"/>
    <w:rsid w:val="00D7703A"/>
    <w:rsid w:val="00D845DF"/>
    <w:rsid w:val="00D875D5"/>
    <w:rsid w:val="00D87698"/>
    <w:rsid w:val="00D912B8"/>
    <w:rsid w:val="00D9681E"/>
    <w:rsid w:val="00D97240"/>
    <w:rsid w:val="00DA250D"/>
    <w:rsid w:val="00DA3396"/>
    <w:rsid w:val="00DA3608"/>
    <w:rsid w:val="00DA5F3A"/>
    <w:rsid w:val="00DA6921"/>
    <w:rsid w:val="00DB01E7"/>
    <w:rsid w:val="00DB03AB"/>
    <w:rsid w:val="00DB2A6F"/>
    <w:rsid w:val="00DC7D02"/>
    <w:rsid w:val="00DD2265"/>
    <w:rsid w:val="00DD2505"/>
    <w:rsid w:val="00DF1AC1"/>
    <w:rsid w:val="00DF3DCD"/>
    <w:rsid w:val="00DF41B5"/>
    <w:rsid w:val="00E02588"/>
    <w:rsid w:val="00E03166"/>
    <w:rsid w:val="00E07374"/>
    <w:rsid w:val="00E101BB"/>
    <w:rsid w:val="00E209BA"/>
    <w:rsid w:val="00E20C65"/>
    <w:rsid w:val="00E232F4"/>
    <w:rsid w:val="00E26144"/>
    <w:rsid w:val="00E445C6"/>
    <w:rsid w:val="00E45DDC"/>
    <w:rsid w:val="00E520E4"/>
    <w:rsid w:val="00E600FB"/>
    <w:rsid w:val="00E6072F"/>
    <w:rsid w:val="00E65B96"/>
    <w:rsid w:val="00E74E26"/>
    <w:rsid w:val="00E91C98"/>
    <w:rsid w:val="00E91D5F"/>
    <w:rsid w:val="00E9492D"/>
    <w:rsid w:val="00E9499C"/>
    <w:rsid w:val="00E953FF"/>
    <w:rsid w:val="00EA2554"/>
    <w:rsid w:val="00EA29A7"/>
    <w:rsid w:val="00EA46B1"/>
    <w:rsid w:val="00EA58BC"/>
    <w:rsid w:val="00EB4D11"/>
    <w:rsid w:val="00EB55F6"/>
    <w:rsid w:val="00EC1737"/>
    <w:rsid w:val="00EC33DA"/>
    <w:rsid w:val="00EC4D15"/>
    <w:rsid w:val="00EC65FF"/>
    <w:rsid w:val="00ED1B34"/>
    <w:rsid w:val="00EE318A"/>
    <w:rsid w:val="00EE6BBE"/>
    <w:rsid w:val="00EE6F80"/>
    <w:rsid w:val="00EF49F1"/>
    <w:rsid w:val="00F03B00"/>
    <w:rsid w:val="00F05402"/>
    <w:rsid w:val="00F05B17"/>
    <w:rsid w:val="00F075EB"/>
    <w:rsid w:val="00F10AB3"/>
    <w:rsid w:val="00F1255C"/>
    <w:rsid w:val="00F14E83"/>
    <w:rsid w:val="00F172F2"/>
    <w:rsid w:val="00F17CD4"/>
    <w:rsid w:val="00F2360D"/>
    <w:rsid w:val="00F24C89"/>
    <w:rsid w:val="00F25085"/>
    <w:rsid w:val="00F25ED2"/>
    <w:rsid w:val="00F263C5"/>
    <w:rsid w:val="00F31B6B"/>
    <w:rsid w:val="00F33BD7"/>
    <w:rsid w:val="00F35B25"/>
    <w:rsid w:val="00F3612A"/>
    <w:rsid w:val="00F371EC"/>
    <w:rsid w:val="00F423F1"/>
    <w:rsid w:val="00F47AA6"/>
    <w:rsid w:val="00F50858"/>
    <w:rsid w:val="00F5551A"/>
    <w:rsid w:val="00F5694A"/>
    <w:rsid w:val="00F728BF"/>
    <w:rsid w:val="00F80AAE"/>
    <w:rsid w:val="00F816FC"/>
    <w:rsid w:val="00F81DF6"/>
    <w:rsid w:val="00F82F6B"/>
    <w:rsid w:val="00F83959"/>
    <w:rsid w:val="00F874A3"/>
    <w:rsid w:val="00F92D9E"/>
    <w:rsid w:val="00F96761"/>
    <w:rsid w:val="00F9796C"/>
    <w:rsid w:val="00FA1841"/>
    <w:rsid w:val="00FA4CB4"/>
    <w:rsid w:val="00FA6C03"/>
    <w:rsid w:val="00FA6EBA"/>
    <w:rsid w:val="00FB24AA"/>
    <w:rsid w:val="00FC06D0"/>
    <w:rsid w:val="00FC1E1D"/>
    <w:rsid w:val="00FC3182"/>
    <w:rsid w:val="00FC53D1"/>
    <w:rsid w:val="00FC7A2A"/>
    <w:rsid w:val="00FD3191"/>
    <w:rsid w:val="00FD4BEE"/>
    <w:rsid w:val="00FD76BA"/>
    <w:rsid w:val="00FE5E90"/>
    <w:rsid w:val="00FF3217"/>
    <w:rsid w:val="00FF45F1"/>
    <w:rsid w:val="00FF7F73"/>
    <w:rsid w:val="023661D4"/>
    <w:rsid w:val="045D72C7"/>
    <w:rsid w:val="052E685C"/>
    <w:rsid w:val="05B76E29"/>
    <w:rsid w:val="06EE2458"/>
    <w:rsid w:val="07DD53D9"/>
    <w:rsid w:val="0A183215"/>
    <w:rsid w:val="0A5A2634"/>
    <w:rsid w:val="0D5D6113"/>
    <w:rsid w:val="0EBC02D3"/>
    <w:rsid w:val="10424464"/>
    <w:rsid w:val="110B2C60"/>
    <w:rsid w:val="113435CB"/>
    <w:rsid w:val="120E6419"/>
    <w:rsid w:val="122D2087"/>
    <w:rsid w:val="127F67FA"/>
    <w:rsid w:val="13851031"/>
    <w:rsid w:val="142F6AF9"/>
    <w:rsid w:val="147F0A7F"/>
    <w:rsid w:val="14A4178A"/>
    <w:rsid w:val="14A97E82"/>
    <w:rsid w:val="15962EBF"/>
    <w:rsid w:val="15D53576"/>
    <w:rsid w:val="16275049"/>
    <w:rsid w:val="18BB3521"/>
    <w:rsid w:val="19BA09D0"/>
    <w:rsid w:val="1AAE21D3"/>
    <w:rsid w:val="1AB82694"/>
    <w:rsid w:val="1B3B261B"/>
    <w:rsid w:val="1DC75FAE"/>
    <w:rsid w:val="203E2F6F"/>
    <w:rsid w:val="20DB19B6"/>
    <w:rsid w:val="20EE1C91"/>
    <w:rsid w:val="23023D8C"/>
    <w:rsid w:val="24192EB6"/>
    <w:rsid w:val="243350A3"/>
    <w:rsid w:val="251329AF"/>
    <w:rsid w:val="25392826"/>
    <w:rsid w:val="25524E45"/>
    <w:rsid w:val="29DA07F6"/>
    <w:rsid w:val="2A845348"/>
    <w:rsid w:val="2B7E671F"/>
    <w:rsid w:val="2C4E52E2"/>
    <w:rsid w:val="2F6D2D6C"/>
    <w:rsid w:val="345D7CF9"/>
    <w:rsid w:val="37151B97"/>
    <w:rsid w:val="376F5D72"/>
    <w:rsid w:val="383C750F"/>
    <w:rsid w:val="3B456D1E"/>
    <w:rsid w:val="3D314048"/>
    <w:rsid w:val="3E2148E6"/>
    <w:rsid w:val="433E15F6"/>
    <w:rsid w:val="43A16CC1"/>
    <w:rsid w:val="44482F31"/>
    <w:rsid w:val="44963EC1"/>
    <w:rsid w:val="45525385"/>
    <w:rsid w:val="47393A17"/>
    <w:rsid w:val="47552879"/>
    <w:rsid w:val="477F1585"/>
    <w:rsid w:val="49F83A92"/>
    <w:rsid w:val="4AC2716A"/>
    <w:rsid w:val="4B484C92"/>
    <w:rsid w:val="4D0F334C"/>
    <w:rsid w:val="4E7E3892"/>
    <w:rsid w:val="4F392B39"/>
    <w:rsid w:val="51EB103B"/>
    <w:rsid w:val="51F608F4"/>
    <w:rsid w:val="53C63B62"/>
    <w:rsid w:val="55952D05"/>
    <w:rsid w:val="56B33976"/>
    <w:rsid w:val="5BDB6956"/>
    <w:rsid w:val="5C52370C"/>
    <w:rsid w:val="5CA467DF"/>
    <w:rsid w:val="5CC25F97"/>
    <w:rsid w:val="5CD31049"/>
    <w:rsid w:val="5D2B68D8"/>
    <w:rsid w:val="5F334021"/>
    <w:rsid w:val="620A6932"/>
    <w:rsid w:val="64743134"/>
    <w:rsid w:val="64872E45"/>
    <w:rsid w:val="66190B6B"/>
    <w:rsid w:val="67812BC5"/>
    <w:rsid w:val="6861523C"/>
    <w:rsid w:val="691D50C9"/>
    <w:rsid w:val="692E798F"/>
    <w:rsid w:val="6A036D35"/>
    <w:rsid w:val="6B42750A"/>
    <w:rsid w:val="6D427D19"/>
    <w:rsid w:val="6D774086"/>
    <w:rsid w:val="6D82064E"/>
    <w:rsid w:val="6F55769C"/>
    <w:rsid w:val="73405351"/>
    <w:rsid w:val="757765BE"/>
    <w:rsid w:val="76E86FC5"/>
    <w:rsid w:val="7767568E"/>
    <w:rsid w:val="77BF249E"/>
    <w:rsid w:val="7880351D"/>
    <w:rsid w:val="78DD3E0B"/>
    <w:rsid w:val="78E832A3"/>
    <w:rsid w:val="7B4005AE"/>
    <w:rsid w:val="7BFF71B1"/>
    <w:rsid w:val="7E205335"/>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3">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40"/>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paragraph" w:styleId="4">
    <w:name w:val="heading 3"/>
    <w:basedOn w:val="1"/>
    <w:next w:val="1"/>
    <w:link w:val="31"/>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qFormat/>
    <w:uiPriority w:val="0"/>
  </w:style>
  <w:style w:type="paragraph" w:styleId="6">
    <w:name w:val="Body Text"/>
    <w:basedOn w:val="1"/>
    <w:next w:val="7"/>
    <w:link w:val="46"/>
    <w:qFormat/>
    <w:uiPriority w:val="0"/>
    <w:pPr>
      <w:autoSpaceDE/>
      <w:autoSpaceDN/>
      <w:adjustRightInd/>
      <w:spacing w:after="120"/>
      <w:jc w:val="both"/>
    </w:pPr>
    <w:rPr>
      <w:szCs w:val="24"/>
    </w:rPr>
  </w:style>
  <w:style w:type="paragraph" w:styleId="7">
    <w:name w:val="toc 5"/>
    <w:basedOn w:val="1"/>
    <w:next w:val="1"/>
    <w:qFormat/>
    <w:uiPriority w:val="0"/>
    <w:pPr>
      <w:ind w:left="1680" w:leftChars="800"/>
      <w:jc w:val="both"/>
    </w:pPr>
    <w:rPr>
      <w:kern w:val="2"/>
      <w:szCs w:val="24"/>
    </w:rPr>
  </w:style>
  <w:style w:type="paragraph" w:styleId="8">
    <w:name w:val="Plain Text"/>
    <w:basedOn w:val="1"/>
    <w:link w:val="35"/>
    <w:qFormat/>
    <w:uiPriority w:val="0"/>
    <w:pPr>
      <w:autoSpaceDE/>
      <w:autoSpaceDN/>
      <w:adjustRightInd/>
      <w:jc w:val="both"/>
    </w:pPr>
    <w:rPr>
      <w:rFonts w:ascii="宋体" w:hAnsi="Courier New"/>
      <w:szCs w:val="21"/>
    </w:rPr>
  </w:style>
  <w:style w:type="paragraph" w:styleId="9">
    <w:name w:val="Date"/>
    <w:basedOn w:val="1"/>
    <w:next w:val="1"/>
    <w:qFormat/>
    <w:uiPriority w:val="0"/>
    <w:pPr>
      <w:jc w:val="both"/>
    </w:pPr>
    <w:rPr>
      <w:rFonts w:ascii="楷体_GB2312" w:eastAsia="楷体_GB2312"/>
      <w:kern w:val="2"/>
      <w:sz w:val="28"/>
    </w:rPr>
  </w:style>
  <w:style w:type="paragraph" w:styleId="10">
    <w:name w:val="Balloon Text"/>
    <w:basedOn w:val="1"/>
    <w:link w:val="30"/>
    <w:qFormat/>
    <w:uiPriority w:val="0"/>
    <w:rPr>
      <w:sz w:val="18"/>
      <w:szCs w:val="18"/>
    </w:rPr>
  </w:style>
  <w:style w:type="paragraph" w:styleId="11">
    <w:name w:val="footer"/>
    <w:basedOn w:val="1"/>
    <w:link w:val="32"/>
    <w:unhideWhenUsed/>
    <w:qFormat/>
    <w:uiPriority w:val="99"/>
    <w:pPr>
      <w:tabs>
        <w:tab w:val="center" w:pos="4153"/>
        <w:tab w:val="right" w:pos="8306"/>
      </w:tabs>
      <w:snapToGrid w:val="0"/>
    </w:pPr>
    <w:rPr>
      <w:rFonts w:ascii="Calibri" w:hAnsi="Calibri"/>
      <w:sz w:val="18"/>
      <w:szCs w:val="18"/>
    </w:rPr>
  </w:style>
  <w:style w:type="paragraph" w:styleId="12">
    <w:name w:val="header"/>
    <w:basedOn w:val="1"/>
    <w:link w:val="48"/>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3">
    <w:name w:val="toc 1"/>
    <w:basedOn w:val="1"/>
    <w:next w:val="1"/>
    <w:qFormat/>
    <w:uiPriority w:val="39"/>
    <w:pPr>
      <w:tabs>
        <w:tab w:val="right" w:leader="dot" w:pos="9060"/>
      </w:tabs>
      <w:autoSpaceDE/>
      <w:autoSpaceDN/>
      <w:adjustRightInd/>
      <w:spacing w:line="360" w:lineRule="auto"/>
      <w:jc w:val="both"/>
    </w:pPr>
    <w:rPr>
      <w:kern w:val="2"/>
      <w:sz w:val="21"/>
    </w:rPr>
  </w:style>
  <w:style w:type="paragraph" w:styleId="14">
    <w:name w:val="Body Text Indent 3"/>
    <w:basedOn w:val="1"/>
    <w:qFormat/>
    <w:uiPriority w:val="0"/>
    <w:pPr>
      <w:autoSpaceDE/>
      <w:autoSpaceDN/>
      <w:adjustRightInd/>
      <w:spacing w:after="120"/>
      <w:ind w:left="420" w:leftChars="200"/>
      <w:jc w:val="both"/>
    </w:pPr>
    <w:rPr>
      <w:kern w:val="2"/>
      <w:sz w:val="16"/>
      <w:szCs w:val="16"/>
    </w:rPr>
  </w:style>
  <w:style w:type="paragraph" w:styleId="15">
    <w:name w:val="Normal (Web)"/>
    <w:basedOn w:val="1"/>
    <w:qFormat/>
    <w:uiPriority w:val="0"/>
    <w:pPr>
      <w:widowControl/>
      <w:autoSpaceDE/>
      <w:autoSpaceDN/>
      <w:adjustRightInd/>
      <w:spacing w:before="100" w:beforeAutospacing="1" w:after="100" w:afterAutospacing="1"/>
    </w:pPr>
    <w:rPr>
      <w:rFonts w:ascii="宋体" w:hAnsi="宋体"/>
      <w:sz w:val="24"/>
      <w:szCs w:val="24"/>
    </w:rPr>
  </w:style>
  <w:style w:type="paragraph" w:styleId="16">
    <w:name w:val="index 1"/>
    <w:basedOn w:val="1"/>
    <w:next w:val="1"/>
    <w:qFormat/>
    <w:uiPriority w:val="0"/>
    <w:pPr>
      <w:jc w:val="center"/>
    </w:pPr>
    <w:rPr>
      <w:rFonts w:ascii="宋体" w:hAnsi="宋体"/>
      <w:kern w:val="2"/>
      <w:sz w:val="18"/>
      <w:szCs w:val="18"/>
    </w:rPr>
  </w:style>
  <w:style w:type="paragraph" w:styleId="17">
    <w:name w:val="Title"/>
    <w:basedOn w:val="1"/>
    <w:next w:val="1"/>
    <w:qFormat/>
    <w:uiPriority w:val="0"/>
    <w:pPr>
      <w:spacing w:before="240" w:after="60"/>
      <w:jc w:val="center"/>
      <w:outlineLvl w:val="0"/>
    </w:pPr>
    <w:rPr>
      <w:rFonts w:ascii="Cambria" w:hAnsi="Cambria"/>
      <w:b/>
      <w:bCs/>
      <w:sz w:val="32"/>
      <w:szCs w:val="32"/>
    </w:rPr>
  </w:style>
  <w:style w:type="paragraph" w:styleId="18">
    <w:name w:val="annotation subject"/>
    <w:basedOn w:val="5"/>
    <w:next w:val="5"/>
    <w:link w:val="34"/>
    <w:qFormat/>
    <w:uiPriority w:val="0"/>
    <w:rPr>
      <w:b/>
      <w:bCs/>
    </w:rPr>
  </w:style>
  <w:style w:type="paragraph" w:styleId="19">
    <w:name w:val="Body Text First Indent"/>
    <w:basedOn w:val="6"/>
    <w:qFormat/>
    <w:uiPriority w:val="0"/>
    <w:pPr>
      <w:spacing w:after="0" w:line="360" w:lineRule="auto"/>
      <w:ind w:firstLine="425"/>
    </w:pPr>
    <w:rPr>
      <w:kern w:val="2"/>
      <w:sz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99"/>
    <w:rPr>
      <w:color w:val="0000FF"/>
      <w:u w:val="single"/>
    </w:rPr>
  </w:style>
  <w:style w:type="character" w:styleId="26">
    <w:name w:val="annotation reference"/>
    <w:qFormat/>
    <w:uiPriority w:val="0"/>
    <w:rPr>
      <w:sz w:val="21"/>
      <w:szCs w:val="21"/>
    </w:rPr>
  </w:style>
  <w:style w:type="paragraph" w:styleId="27">
    <w:name w:val="List Paragraph"/>
    <w:basedOn w:val="1"/>
    <w:link w:val="39"/>
    <w:qFormat/>
    <w:uiPriority w:val="0"/>
    <w:pPr>
      <w:ind w:firstLine="420" w:firstLineChars="200"/>
    </w:pPr>
  </w:style>
  <w:style w:type="paragraph" w:customStyle="1" w:styleId="28">
    <w:name w:val="图"/>
    <w:basedOn w:val="1"/>
    <w:qFormat/>
    <w:uiPriority w:val="0"/>
    <w:pPr>
      <w:keepNext/>
      <w:autoSpaceDE/>
      <w:autoSpaceDN/>
      <w:spacing w:before="60" w:after="60" w:line="300" w:lineRule="auto"/>
      <w:jc w:val="center"/>
      <w:textAlignment w:val="center"/>
    </w:pPr>
    <w:rPr>
      <w:snapToGrid w:val="0"/>
      <w:spacing w:val="20"/>
      <w:sz w:val="24"/>
    </w:rPr>
  </w:style>
  <w:style w:type="paragraph" w:customStyle="1" w:styleId="29">
    <w:name w:val="样式4"/>
    <w:basedOn w:val="1"/>
    <w:qFormat/>
    <w:uiPriority w:val="0"/>
    <w:pPr>
      <w:tabs>
        <w:tab w:val="left" w:pos="2328"/>
      </w:tabs>
      <w:ind w:left="2328" w:hanging="708"/>
    </w:pPr>
  </w:style>
  <w:style w:type="character" w:customStyle="1" w:styleId="30">
    <w:name w:val="批注框文本 Char"/>
    <w:basedOn w:val="22"/>
    <w:link w:val="10"/>
    <w:qFormat/>
    <w:uiPriority w:val="0"/>
    <w:rPr>
      <w:sz w:val="18"/>
      <w:szCs w:val="18"/>
    </w:rPr>
  </w:style>
  <w:style w:type="character" w:customStyle="1" w:styleId="31">
    <w:name w:val="标题 3 Char"/>
    <w:basedOn w:val="22"/>
    <w:link w:val="4"/>
    <w:qFormat/>
    <w:uiPriority w:val="0"/>
    <w:rPr>
      <w:b/>
      <w:bCs/>
      <w:sz w:val="32"/>
      <w:szCs w:val="32"/>
    </w:rPr>
  </w:style>
  <w:style w:type="character" w:customStyle="1" w:styleId="32">
    <w:name w:val="页脚 Char"/>
    <w:basedOn w:val="22"/>
    <w:link w:val="11"/>
    <w:qFormat/>
    <w:uiPriority w:val="99"/>
    <w:rPr>
      <w:rFonts w:ascii="Calibri" w:hAnsi="Calibri"/>
      <w:sz w:val="18"/>
      <w:szCs w:val="18"/>
    </w:rPr>
  </w:style>
  <w:style w:type="character" w:customStyle="1" w:styleId="33">
    <w:name w:val="批注文字 Char"/>
    <w:basedOn w:val="22"/>
    <w:link w:val="5"/>
    <w:qFormat/>
    <w:uiPriority w:val="0"/>
  </w:style>
  <w:style w:type="character" w:customStyle="1" w:styleId="34">
    <w:name w:val="批注主题 Char"/>
    <w:basedOn w:val="33"/>
    <w:link w:val="18"/>
    <w:qFormat/>
    <w:uiPriority w:val="0"/>
    <w:rPr>
      <w:b/>
      <w:bCs/>
    </w:rPr>
  </w:style>
  <w:style w:type="character" w:customStyle="1" w:styleId="35">
    <w:name w:val="纯文本 Char"/>
    <w:basedOn w:val="22"/>
    <w:link w:val="8"/>
    <w:qFormat/>
    <w:uiPriority w:val="0"/>
    <w:rPr>
      <w:rFonts w:ascii="宋体" w:hAnsi="Courier New"/>
      <w:szCs w:val="21"/>
    </w:rPr>
  </w:style>
  <w:style w:type="paragraph" w:customStyle="1" w:styleId="36">
    <w:name w:val="正文首行缩进1"/>
    <w:basedOn w:val="6"/>
    <w:qFormat/>
    <w:uiPriority w:val="0"/>
    <w:pPr>
      <w:spacing w:before="100" w:beforeAutospacing="1" w:after="0"/>
      <w:ind w:firstLine="420" w:firstLineChars="100"/>
    </w:pPr>
    <w:rPr>
      <w:rFonts w:ascii="宋体" w:hAnsi="宋体" w:cs="宋体"/>
      <w:sz w:val="34"/>
      <w:szCs w:val="34"/>
    </w:rPr>
  </w:style>
  <w:style w:type="paragraph" w:customStyle="1" w:styleId="3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8">
    <w:name w:val="Char"/>
    <w:basedOn w:val="1"/>
    <w:qFormat/>
    <w:uiPriority w:val="0"/>
    <w:pPr>
      <w:widowControl/>
      <w:autoSpaceDE/>
      <w:autoSpaceDN/>
      <w:adjustRightInd/>
      <w:spacing w:after="160" w:line="240" w:lineRule="exact"/>
    </w:pPr>
    <w:rPr>
      <w:rFonts w:ascii="Verdana" w:hAnsi="Verdana" w:eastAsia="楷体_GB2312"/>
      <w:b/>
      <w:i/>
      <w:iCs/>
      <w:color w:val="000000"/>
      <w:lang w:eastAsia="en-US"/>
    </w:rPr>
  </w:style>
  <w:style w:type="character" w:customStyle="1" w:styleId="39">
    <w:name w:val="列出段落 Char"/>
    <w:link w:val="27"/>
    <w:qFormat/>
    <w:uiPriority w:val="0"/>
  </w:style>
  <w:style w:type="character" w:customStyle="1" w:styleId="40">
    <w:name w:val="标题 2 Char"/>
    <w:link w:val="2"/>
    <w:qFormat/>
    <w:uiPriority w:val="0"/>
    <w:rPr>
      <w:rFonts w:ascii="Arial" w:hAnsi="Arial" w:eastAsia="黑体"/>
      <w:b/>
      <w:bCs/>
      <w:kern w:val="2"/>
      <w:sz w:val="32"/>
      <w:szCs w:val="32"/>
    </w:rPr>
  </w:style>
  <w:style w:type="paragraph" w:customStyle="1" w:styleId="41">
    <w:name w:val="Char1"/>
    <w:basedOn w:val="1"/>
    <w:qFormat/>
    <w:uiPriority w:val="0"/>
    <w:pPr>
      <w:widowControl/>
      <w:autoSpaceDE/>
      <w:autoSpaceDN/>
      <w:adjustRightInd/>
      <w:spacing w:after="160" w:line="240" w:lineRule="exact"/>
    </w:pPr>
    <w:rPr>
      <w:rFonts w:ascii="Verdana" w:hAnsi="Verdana" w:eastAsia="楷体_GB2312"/>
      <w:b/>
      <w:i/>
      <w:iCs/>
      <w:color w:val="000000"/>
      <w:lang w:eastAsia="en-US"/>
    </w:rPr>
  </w:style>
  <w:style w:type="character" w:customStyle="1" w:styleId="42">
    <w:name w:val="标题 2 Char1"/>
    <w:qFormat/>
    <w:uiPriority w:val="0"/>
    <w:rPr>
      <w:rFonts w:ascii="Arial" w:hAnsi="Arial" w:eastAsia="黑体" w:cs="Times New Roman"/>
      <w:b/>
      <w:bCs/>
      <w:sz w:val="32"/>
      <w:szCs w:val="32"/>
    </w:rPr>
  </w:style>
  <w:style w:type="paragraph" w:customStyle="1" w:styleId="43">
    <w:name w:val="Item List in Table"/>
    <w:basedOn w:val="1"/>
    <w:qFormat/>
    <w:uiPriority w:val="0"/>
    <w:pPr>
      <w:numPr>
        <w:ilvl w:val="0"/>
        <w:numId w:val="1"/>
      </w:numPr>
      <w:tabs>
        <w:tab w:val="left" w:pos="420"/>
      </w:tabs>
      <w:autoSpaceDE/>
      <w:autoSpaceDN/>
      <w:adjustRightInd/>
    </w:pPr>
    <w:rPr>
      <w:kern w:val="2"/>
      <w:sz w:val="21"/>
      <w:szCs w:val="24"/>
    </w:rPr>
  </w:style>
  <w:style w:type="character" w:customStyle="1" w:styleId="44">
    <w:name w:val="标题 1 Char"/>
    <w:basedOn w:val="22"/>
    <w:link w:val="3"/>
    <w:qFormat/>
    <w:uiPriority w:val="0"/>
    <w:rPr>
      <w:b/>
      <w:bCs/>
      <w:kern w:val="44"/>
      <w:sz w:val="44"/>
      <w:szCs w:val="44"/>
    </w:rPr>
  </w:style>
  <w:style w:type="paragraph" w:customStyle="1" w:styleId="45">
    <w:name w:val="列出段落1"/>
    <w:basedOn w:val="1"/>
    <w:qFormat/>
    <w:uiPriority w:val="0"/>
    <w:pPr>
      <w:ind w:firstLine="420" w:firstLineChars="200"/>
    </w:pPr>
  </w:style>
  <w:style w:type="character" w:customStyle="1" w:styleId="46">
    <w:name w:val="正文文本 Char"/>
    <w:basedOn w:val="22"/>
    <w:link w:val="6"/>
    <w:qFormat/>
    <w:uiPriority w:val="0"/>
    <w:rPr>
      <w:szCs w:val="24"/>
    </w:rPr>
  </w:style>
  <w:style w:type="paragraph" w:customStyle="1" w:styleId="47">
    <w:name w:val="Table Paragraph"/>
    <w:basedOn w:val="1"/>
    <w:qFormat/>
    <w:uiPriority w:val="1"/>
    <w:rPr>
      <w:sz w:val="24"/>
      <w:szCs w:val="24"/>
    </w:rPr>
  </w:style>
  <w:style w:type="character" w:customStyle="1" w:styleId="48">
    <w:name w:val="页眉 Char"/>
    <w:basedOn w:val="22"/>
    <w:link w:val="12"/>
    <w:qFormat/>
    <w:uiPriority w:val="0"/>
    <w:rPr>
      <w:rFonts w:ascii="Calibri" w:hAnsi="Calibri"/>
      <w:sz w:val="18"/>
      <w:szCs w:val="18"/>
    </w:rPr>
  </w:style>
  <w:style w:type="character" w:customStyle="1" w:styleId="49">
    <w:name w:val="font11"/>
    <w:basedOn w:val="22"/>
    <w:qFormat/>
    <w:uiPriority w:val="0"/>
    <w:rPr>
      <w:rFonts w:hint="eastAsia" w:ascii="宋体" w:hAnsi="宋体" w:eastAsia="宋体" w:cs="宋体"/>
      <w:color w:val="000000"/>
      <w:sz w:val="24"/>
      <w:szCs w:val="24"/>
      <w:u w:val="none"/>
    </w:rPr>
  </w:style>
  <w:style w:type="paragraph" w:customStyle="1" w:styleId="50">
    <w:name w:val="Body text|1"/>
    <w:basedOn w:val="1"/>
    <w:qFormat/>
    <w:uiPriority w:val="0"/>
    <w:pPr>
      <w:spacing w:line="466" w:lineRule="auto"/>
      <w:ind w:firstLine="400"/>
    </w:pPr>
    <w:rPr>
      <w:rFonts w:ascii="宋体" w:hAnsi="宋体" w:cs="宋体"/>
      <w:sz w:val="18"/>
      <w:szCs w:val="18"/>
      <w:lang w:val="zh-TW" w:eastAsia="zh-TW" w:bidi="zh-TW"/>
    </w:rPr>
  </w:style>
  <w:style w:type="paragraph" w:customStyle="1" w:styleId="51">
    <w:name w:val="Body text|2"/>
    <w:basedOn w:val="1"/>
    <w:qFormat/>
    <w:uiPriority w:val="0"/>
    <w:pPr>
      <w:spacing w:after="100" w:line="402" w:lineRule="exact"/>
    </w:pPr>
    <w:rPr>
      <w:rFonts w:ascii="宋体" w:hAnsi="宋体" w:cs="宋体"/>
      <w:lang w:val="zh-TW" w:eastAsia="zh-TW" w:bidi="zh-TW"/>
    </w:rPr>
  </w:style>
  <w:style w:type="character" w:customStyle="1" w:styleId="52">
    <w:name w:val="font21"/>
    <w:basedOn w:val="22"/>
    <w:qFormat/>
    <w:uiPriority w:val="0"/>
    <w:rPr>
      <w:rFonts w:hint="eastAsia" w:ascii="宋体" w:hAnsi="宋体" w:eastAsia="宋体" w:cs="宋体"/>
      <w:b/>
      <w:color w:val="000000"/>
      <w:sz w:val="18"/>
      <w:szCs w:val="18"/>
      <w:u w:val="none"/>
    </w:rPr>
  </w:style>
  <w:style w:type="paragraph" w:customStyle="1" w:styleId="53">
    <w:name w:val="标题1"/>
    <w:basedOn w:val="1"/>
    <w:qFormat/>
    <w:uiPriority w:val="0"/>
    <w:pPr>
      <w:spacing w:line="360" w:lineRule="auto"/>
      <w:jc w:val="center"/>
    </w:pPr>
    <w:rPr>
      <w:rFonts w:ascii="黑体" w:eastAsia="黑体"/>
      <w:b/>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2AD4E2-E7AD-425D-AAA0-93DD9628B04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5752</Words>
  <Characters>32790</Characters>
  <Lines>273</Lines>
  <Paragraphs>76</Paragraphs>
  <TotalTime>20</TotalTime>
  <ScaleCrop>false</ScaleCrop>
  <LinksUpToDate>false</LinksUpToDate>
  <CharactersWithSpaces>38466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2021-06-08T10:15:00Z</dcterms:created>
  <dc:creator>Administrator</dc:creator>
  <cp:lastModifiedBy>zhuo</cp:lastModifiedBy>
  <cp:lastPrinted>2022-01-28T08:45:00Z</cp:lastPrinted>
  <dcterms:modified xsi:type="dcterms:W3CDTF">2022-01-30T08:57:10Z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D4717EC618E3429F92203CF7D7E5D668</vt:lpwstr>
  </property>
</Properties>
</file>